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8"/>
        <w:suppressLineNumbers w:val="false"/>
        <w:pBdr/>
        <w:spacing w:after="0" w:afterAutospacing="0" w:before="0" w:beforeAutospacing="0" w:line="276" w:lineRule="auto"/>
        <w:ind w:firstLine="720" w:left="0"/>
        <w:jc w:val="both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eastAsia="Times New Roman" w:cs="Times New Roman"/>
          <w:b/>
          <w:bCs/>
          <w:highlight w:val="yellow"/>
          <w:lang w:val="en-US"/>
        </w:rPr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ЛР-1. Обзор и Сравнительный анализ трех информационных систем</w:t>
      </w:r>
      <w:r>
        <w:rPr>
          <w:rFonts w:ascii="Times New Roman" w:hAnsi="Times New Roman" w:cs="Times New Roman"/>
          <w:b/>
          <w:bCs/>
          <w:highlight w:val="yellow"/>
        </w:rPr>
      </w:r>
      <w:r>
        <w:rPr>
          <w:rFonts w:ascii="Times New Roman" w:hAnsi="Times New Roman" w:cs="Times New Roman"/>
          <w:b/>
          <w:bCs/>
          <w:highlight w:val="yellow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Вводное к теме.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В данный момент на коммерческих про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08" w:left="0"/>
        <w:jc w:val="both"/>
        <w:rPr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О наличии на рынке аналогов.</w:t>
      </w:r>
      <w:r>
        <w:rPr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На 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yellow"/>
          <w14:ligatures w14:val="none"/>
        </w:rPr>
      </w:r>
      <w:r>
        <w:rPr>
          <w:sz w:val="28"/>
          <w:szCs w:val="28"/>
          <w:highlight w:val="yellow"/>
          <w14:ligatures w14:val="none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Каждый фреймворк нацелен на конкретную сферу тестирования.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  <w:t xml:space="preserve">Нек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  <w:t xml:space="preserve">Application Programming Interface (API)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  <w:t xml:space="preserve">или базы данных.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suppressLineNumbers w:val="false"/>
        <w:pBdr/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  <w:highlight w:val="yellow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0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Категории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Для определения категории, необходимой для сравнительного анализа – 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560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yellow"/>
        </w:rPr>
      </w:r>
      <w:r>
        <w:rPr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8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категория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“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Инструменты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”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. Далее предоставлено краткое обоснование выбора этой категории.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1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Выбор исследуемых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 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1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Чтобы выбрать наил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учшие фреймворки из списка были определены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самые влиятельные критерии выбора.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>
        <w:rPr>
          <w:rFonts w:ascii="Arial" w:hAnsi="Arial" w:eastAsia="Arial" w:cs="Arial"/>
          <w:sz w:val="24"/>
          <w:highlight w:val="yellow"/>
        </w:rPr>
      </w:r>
      <w:r>
        <w:rPr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highlight w:val="yellow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ак фреймворк интегрируется с существующей инфраструктурой (CI/CD-пайплайны, контейнеры и т. д.).</w:t>
      </w:r>
      <w:r>
        <w:rPr>
          <w:highlight w:val="yellow"/>
        </w:rPr>
      </w:r>
    </w:p>
    <w:p>
      <w:pPr>
        <w:pStyle w:val="916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highlight w:val="yellow"/>
          <w:lang w:val="en-US"/>
        </w:rPr>
        <w:t xml:space="preserve">Бюджет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111111"/>
          <w:sz w:val="28"/>
          <w:szCs w:val="28"/>
          <w:highlight w:val="yellow"/>
          <w:lang w:val="ru-RU"/>
        </w:rPr>
        <w:t xml:space="preserve">Поочередный обзор аналогов.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 На основе выделенных критериев были определены три наиболее влиятельных фреймворка для сравнения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: Selenium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 WebDriver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, Cypress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Playwright.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Разбор фреймворка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elenium WebDriver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представлен в таблице 1.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111111"/>
          <w:sz w:val="28"/>
          <w:szCs w:val="28"/>
          <w:highlight w:val="yellow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  <w:highlight w:val="yellow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  <w:highlight w:val="yellow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  <w:highlight w:val="yellow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  <w:highlight w:val="yellow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Таблица 1. Описание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  <w:t xml:space="preserve">Selenium WebDriver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представлен в таблице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yellow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  <w:highlight w:val="yellow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Таблица 2. Описание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  <w14:ligatures w14:val="none"/>
        </w:rPr>
        <w:t xml:space="preserve">C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  <w14:ligatures w14:val="none"/>
        </w:rPr>
        <w:t xml:space="preserve">ypress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yellow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highlight w:val="yellow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tbl>
      <w:tblPr>
        <w:tblStyle w:val="76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:highlight w:val="yellow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yellow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yellow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sectPr>
      <w:footnotePr/>
      <w:endnotePr/>
      <w:type w:val="nextPage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8">
    <w:name w:val="Heading 2"/>
    <w:basedOn w:val="912"/>
    <w:next w:val="912"/>
    <w:link w:val="73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0">
    <w:name w:val="Heading 3"/>
    <w:basedOn w:val="912"/>
    <w:next w:val="912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912"/>
    <w:next w:val="912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5">
    <w:name w:val="Title Char"/>
    <w:link w:val="754"/>
    <w:uiPriority w:val="10"/>
    <w:pPr>
      <w:pBdr/>
      <w:spacing/>
      <w:ind/>
    </w:pPr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7">
    <w:name w:val="Subtitle Char"/>
    <w:link w:val="756"/>
    <w:uiPriority w:val="11"/>
    <w:pPr>
      <w:pBdr/>
      <w:spacing/>
      <w:ind/>
    </w:pPr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pBdr/>
      <w:spacing/>
      <w:ind w:right="720" w:left="720"/>
    </w:pPr>
    <w:rPr>
      <w:i/>
    </w:rPr>
  </w:style>
  <w:style w:type="character" w:styleId="759">
    <w:name w:val="Quote Char"/>
    <w:link w:val="758"/>
    <w:uiPriority w:val="29"/>
    <w:pPr>
      <w:pBdr/>
      <w:spacing/>
      <w:ind/>
    </w:pPr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1">
    <w:name w:val="Intense Quote Char"/>
    <w:link w:val="760"/>
    <w:uiPriority w:val="30"/>
    <w:pPr>
      <w:pBdr/>
      <w:spacing/>
      <w:ind/>
    </w:pPr>
    <w:rPr>
      <w:i/>
    </w:rPr>
  </w:style>
  <w:style w:type="paragraph" w:styleId="762">
    <w:name w:val="Header"/>
    <w:basedOn w:val="912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Header Char"/>
    <w:link w:val="762"/>
    <w:uiPriority w:val="99"/>
    <w:pPr>
      <w:pBdr/>
      <w:spacing/>
      <w:ind/>
    </w:pPr>
  </w:style>
  <w:style w:type="paragraph" w:styleId="764">
    <w:name w:val="Footer"/>
    <w:basedOn w:val="912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5">
    <w:name w:val="Footer Char"/>
    <w:link w:val="764"/>
    <w:uiPriority w:val="99"/>
    <w:pPr>
      <w:pBdr/>
      <w:spacing/>
      <w:ind/>
    </w:pPr>
  </w:style>
  <w:style w:type="paragraph" w:styleId="766">
    <w:name w:val="Caption"/>
    <w:basedOn w:val="912"/>
    <w:next w:val="91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  <w:pPr>
      <w:pBdr/>
      <w:spacing/>
      <w:ind/>
    </w:pPr>
  </w:style>
  <w:style w:type="table" w:styleId="768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6">
    <w:name w:val="Footnote Text Char"/>
    <w:link w:val="895"/>
    <w:uiPriority w:val="99"/>
    <w:pPr>
      <w:pBdr/>
      <w:spacing/>
      <w:ind/>
    </w:pPr>
    <w:rPr>
      <w:sz w:val="18"/>
    </w:rPr>
  </w:style>
  <w:style w:type="character" w:styleId="8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9">
    <w:name w:val="Endnote Text Char"/>
    <w:link w:val="898"/>
    <w:uiPriority w:val="99"/>
    <w:pPr>
      <w:pBdr/>
      <w:spacing/>
      <w:ind/>
    </w:pPr>
    <w:rPr>
      <w:sz w:val="20"/>
    </w:rPr>
  </w:style>
  <w:style w:type="character" w:styleId="90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912"/>
    <w:next w:val="912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912"/>
    <w:next w:val="912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912"/>
    <w:next w:val="912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912"/>
    <w:next w:val="912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912"/>
    <w:next w:val="912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912"/>
    <w:next w:val="912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912"/>
    <w:next w:val="912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912"/>
    <w:next w:val="912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2024-04-21T13:56:44Z</dcterms:modified>
</cp:coreProperties>
</file>