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left"/>
      </w:pPr>
      <w:r>
        <w:rPr>
          <w:b/>
          <w:bCs/>
          <w:color w:val="1B2A4A"/>
          <w:sz w:val="52"/>
          <w:szCs w:val="52"/>
        </w:rPr>
        <w:t xml:space="preserve">BENCHMARK DE PLATAFORMAS DE DESIGN SYSTEM</w:t>
      </w:r>
    </w:p>
    <w:p>
      <w:pPr>
        <w:spacing w:after="360"/>
        <w:jc w:val="left"/>
      </w:pPr>
      <w:r>
        <w:rPr>
          <w:b/>
          <w:bCs/>
          <w:color w:val="4C51FA"/>
          <w:sz w:val="38"/>
          <w:szCs w:val="38"/>
        </w:rPr>
        <w:t xml:space="preserve">Zeroheight vs. Supernova</w:t>
      </w:r>
    </w:p>
    <w:p>
      <w:pPr>
        <w:pBdr>
          <w:bottom w:val="single" w:color="D4892A" w:sz="4" w:space="1"/>
        </w:pBdr>
        <w:spacing w:after="120" w:before="120"/>
      </w:pPr>
    </w:p>
    <w:p>
      <w:pPr>
        <w:spacing w:after="120"/>
      </w:pPr>
      <w:r>
        <w:rPr>
          <w:b/>
          <w:bCs/>
          <w:color w:val="6B7280"/>
        </w:rPr>
        <w:t xml:space="preserve">Proyecto: </w:t>
      </w:r>
      <w:r>
        <w:t xml:space="preserve">Later Brand System v2.0  ·  </w:t>
      </w:r>
      <w:r>
        <w:rPr>
          <w:b/>
          <w:bCs/>
          <w:color w:val="6B7280"/>
        </w:rPr>
        <w:t xml:space="preserve">Empresa: </w:t>
      </w:r>
      <w:r>
        <w:t xml:space="preserve">100 Ladrillos  ·  </w:t>
      </w:r>
      <w:r>
        <w:rPr>
          <w:b/>
          <w:bCs/>
          <w:color w:val="6B7280"/>
        </w:rPr>
        <w:t xml:space="preserve">Fecha: </w:t>
      </w:r>
      <w:r>
        <w:t xml:space="preserve">Junio 2026  ·  </w:t>
      </w:r>
      <w:r>
        <w:rPr>
          <w:b/>
          <w:bCs/>
          <w:color w:val="6B7280"/>
        </w:rPr>
        <w:t xml:space="preserve">Fase: </w:t>
      </w:r>
      <w:r>
        <w:t xml:space="preserve">Decisión estratégica — Bloqueante Fase 2 de Renovare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2A" w:sz="6"/>
              <w:left w:val="thick" w:color="D4892A" w:sz="18"/>
              <w:bottom w:val="single" w:color="D4892A" w:sz="6"/>
              <w:right w:val="single" w:color="D4892A" w:sz="6"/>
            </w:tcBorders>
            <w:shd w:fill="FFF3DC" w:val="clear"/>
            <w:tcMar>
              <w:top w:type="dxa" w:w="100"/>
              <w:left w:type="dxa" w:w="180"/>
              <w:bottom w:type="dxa" w:w="100"/>
              <w:right w:type="dxa" w:w="180"/>
            </w:tcMar>
          </w:tcPr>
          <w:p>
            <w:pPr>
              <w:spacing w:after="60"/>
            </w:pPr>
            <w:r>
              <w:rPr>
                <w:b/>
                <w:bCs/>
                <w:color w:val="D4892A"/>
                <w:sz w:val="19"/>
                <w:szCs w:val="19"/>
              </w:rPr>
              <w:t xml:space="preserve">Por qué este documento importa</w:t>
            </w:r>
          </w:p>
          <w:p>
            <w:pPr>
              <w:spacing w:after="0"/>
            </w:pPr>
            <w:r>
              <w:rPr>
                <w:sz w:val="18"/>
                <w:szCs w:val="18"/>
              </w:rPr>
              <w:t xml:space="preserve">La selección de la plataforma para Later: Brand System es un bloqueante activo para iniciar la Fase 2 de Renovare. Este benchmark provee el análisis técnico, económico y por-equipo necesario para que los leads de Marketing, Diseño, Producto, Diseño de Producto y Tecnología tomen una decisión informada y coordinada.</w:t>
            </w:r>
          </w:p>
        </w:tc>
      </w:tr>
    </w:tbl>
    <w:p/>
    <w:p>
      <w:r>
        <w:br w:type="page"/>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Resumen Ejecutivo</w:t>
      </w:r>
    </w:p>
    <w:p>
      <w:pPr>
        <w:spacing w:after="120"/>
      </w:pPr>
      <w:r>
        <w:t xml:space="preserve">Este documento compara Zeroheight y Supernova como plataformas de soporte para Later: Brand System. El contexto es crítico: hoy no existe un pipeline automatizado de tokens. El proceso actual es exportar manualmente desde Figma y adaptar los tokens a mano en cada proyecto de desarrollo. La Fase 2 de Renovare es el momento de levantar esa infraestructura correctamente, y la plataforma elegida define si ese pipeline se automatiza o sigue siendo trabajo manual indefinidamente. El análisis además responde las preguntas específicas de los tres equipos que documentarán en la plataforma: Diseño (Brand Book), Product Design (componentes y patrones) y Tecnología (Storybook / código vivo).</w:t>
      </w:r>
    </w:p>
    <w:p/>
    <w:p>
      <w:pPr>
        <w:pStyle w:val="Heading2"/>
      </w:pPr>
      <w:r>
        <w:rPr>
          <w:b/>
          <w:bCs/>
        </w:rPr>
        <w:t xml:space="preserve">1.1 Contexto del Proyecto: modelo operativo de Later</w:t>
      </w:r>
    </w:p>
    <w:p>
      <w:pPr>
        <w:spacing w:after="120"/>
      </w:pPr>
      <w:r>
        <w:t xml:space="preserve">Hoy no existe un lugar centralizado donde vivan los foundations de la marca. Los assets visuales, las guías tipográficas, los tokens de color y los lineamientos de voz gráfica no tienen una fuente de verdad. Cada equipo los consume de donde puede: archivos de Figma no organizados, carpetas de Drive, conversaciones de Slack. Eso es exactamente lo que Later: Brand System busca resolver — y la plataforma elegida es el hub que lo hace posible.</w:t>
      </w:r>
    </w:p>
    <w:p/>
    <w:p>
      <w:pPr>
        <w:pStyle w:val="Heading3"/>
      </w:pPr>
      <w:r>
        <w:rPr>
          <w:b/>
          <w:bCs/>
        </w:rPr>
        <w:t xml:space="preserve">El modelo de tres equipos</w:t>
      </w:r>
    </w:p>
    <w:p>
      <w:pPr>
        <w:pStyle w:val="ListParagraph"/>
        <w:numPr>
          <w:ilvl w:val="0"/>
          <w:numId w:val="2"/>
        </w:numPr>
        <w:spacing w:after="60"/>
      </w:pPr>
      <w:r>
        <w:rPr>
          <w:b/>
          <w:bCs/>
          <w:color w:val="1B2A4A"/>
        </w:rPr>
        <w:t xml:space="preserve">Diseño ↔ Marketing: </w:t>
      </w:r>
      <w:r>
        <w:t xml:space="preserve">El equipo de Diseño produce los assets visuales de marca para Marketing: ilustraciones, imágenes de campaña, piezas gráficas. En la plataforma publicarán el Brand Book — foundations tipográficas, de color, iconografía y voz visual — que sirve como referencia para toda la organización.</w:t>
      </w:r>
    </w:p>
    <w:p>
      <w:pPr>
        <w:pStyle w:val="ListParagraph"/>
        <w:numPr>
          <w:ilvl w:val="0"/>
          <w:numId w:val="2"/>
        </w:numPr>
        <w:spacing w:after="60"/>
      </w:pPr>
      <w:r>
        <w:rPr>
          <w:b/>
          <w:bCs/>
          <w:color w:val="1B2A4A"/>
        </w:rPr>
        <w:t xml:space="preserve">Diseño de Producto ↔ Diseño: </w:t>
      </w:r>
      <w:r>
        <w:t xml:space="preserve">Product Design consume los foundations publicados por Diseño y, a su vez, documenta los componentes de UI y patrones de interacción. La comunicación es bidireccional: Diseño sabe cómo van los componentes; Product Design sabe qué elementos visuales pueden usar para banners, estados de interfaz o assets de comunicación.</w:t>
      </w:r>
    </w:p>
    <w:p>
      <w:pPr>
        <w:pStyle w:val="ListParagraph"/>
        <w:numPr>
          <w:ilvl w:val="0"/>
          <w:numId w:val="2"/>
        </w:numPr>
        <w:spacing w:after="60"/>
      </w:pPr>
      <w:r>
        <w:rPr>
          <w:b/>
          <w:bCs/>
          <w:color w:val="1B2A4A"/>
        </w:rPr>
        <w:t xml:space="preserve">Tecnología → Supernova (Storybook como fuente de verdad técnica): </w:t>
      </w:r>
      <w:r>
        <w:t xml:space="preserve">Storybook no es una alternativa a la plataforma — es la herramienta de Tecnología para construir y validar componentes con código real. Lo que se construye en Storybook se sincroniza hacia Supernova, que lo embebe y documenta. El flujo es: Figma Variables → token pipeline → PR en GitHub, y en paralelo Storybook → Supernova como playground interactivo con código vivo.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2A" w:sz="6"/>
              <w:left w:val="thick" w:color="D4892A" w:sz="18"/>
              <w:bottom w:val="single" w:color="D4892A" w:sz="6"/>
              <w:right w:val="single" w:color="D4892A" w:sz="6"/>
            </w:tcBorders>
            <w:shd w:fill="FFF3DC" w:val="clear"/>
            <w:tcMar>
              <w:top w:type="dxa" w:w="100"/>
              <w:left w:type="dxa" w:w="180"/>
              <w:bottom w:type="dxa" w:w="100"/>
              <w:right w:type="dxa" w:w="180"/>
            </w:tcMar>
          </w:tcPr>
          <w:p>
            <w:pPr>
              <w:spacing w:after="60"/>
            </w:pPr>
            <w:r>
              <w:rPr>
                <w:b/>
                <w:bCs/>
                <w:color w:val="D4892A"/>
                <w:sz w:val="19"/>
                <w:szCs w:val="19"/>
              </w:rPr>
              <w:t xml:space="preserve">Infraestructura Y documentación — no es un versus</w:t>
            </w:r>
          </w:p>
          <w:p>
            <w:pPr>
              <w:spacing w:after="0"/>
            </w:pPr>
            <w:r>
              <w:rPr>
                <w:sz w:val="18"/>
                <w:szCs w:val="18"/>
              </w:rPr>
              <w:t xml:space="preserve">La pregunta correcta no es '¿queremos infraestructura o documentación?'. La plataforma elegida debe hacer ambas simultáneamente: automatizar el pipeline de tokens hacia código (infraestructura) y centralizar el Brand Book, los componentes y los patrones como fuente de verdad consultable (documentación). Supernova y Zeroheight compiten en cuánto de cada uno incluyen y qué tan bien integran los dos lados.</w:t>
            </w:r>
          </w:p>
        </w:tc>
      </w:tr>
    </w:tbl>
    <w:p/>
    <w:p>
      <w:pPr>
        <w:pStyle w:val="Heading3"/>
      </w:pPr>
      <w:r>
        <w:rPr>
          <w:b/>
          <w:bCs/>
        </w:rPr>
        <w:t xml:space="preserve">Una aclaración importante: Supernova no es un DAM</w:t>
      </w:r>
    </w:p>
    <w:p>
      <w:pPr>
        <w:spacing w:after="120"/>
      </w:pPr>
      <w:r>
        <w:t xml:space="preserve">Supernova (y Zeroheight) son plataformas de design system — documentan las reglas de uso de la marca, los tokens, los componentes y los patrones. No almacenan ni distribuyen archivos físicos de assets (ilustraciones exportadas, imágenes de campaña, fotografías, videos). Esa función corresponde a un DAM (Digital Asset Management): una biblioteca centralizada con metadatos, permisos y versionado para los archivos finales de marca. Hoy 100 Ladrillos gestiona esos assets a través de Figma y Google Drive organizado — Later: Brand System no reemplaza esa capa, pero sí publica los lineamientos y especificaciones que gobiernan cómo se usan esos assets.</w:t>
      </w:r>
    </w:p>
    <w:p/>
    <w:p>
      <w:pPr>
        <w:pStyle w:val="Heading2"/>
      </w:pPr>
      <w:r>
        <w:rPr>
          <w:b/>
          <w:bCs/>
        </w:rPr>
        <w:t xml:space="preserve">1.2 Hallazgos clave</w:t>
      </w:r>
    </w:p>
    <w:p>
      <w:pPr>
        <w:pStyle w:val="ListParagraph"/>
        <w:numPr>
          <w:ilvl w:val="0"/>
          <w:numId w:val="2"/>
        </w:numPr>
        <w:spacing w:after="60"/>
      </w:pPr>
      <w:r>
        <w:t xml:space="preserve">Hoy no existe pipeline automatizado de tokens. El proceso actual — exportar de Figma manualmente y adaptar en cada proyecto a mano — es lo que esta decisión busca resolver definitivamente desde Fase 2.</w:t>
      </w:r>
    </w:p>
    <w:p>
      <w:pPr>
        <w:pStyle w:val="ListParagraph"/>
        <w:numPr>
          <w:ilvl w:val="0"/>
          <w:numId w:val="2"/>
        </w:numPr>
        <w:spacing w:after="60"/>
      </w:pPr>
      <w:r>
        <w:t xml:space="preserve">La plataforma debe soportar tres capas de documentación con dueños distintos: Diseño lleva el Brand Book, Product Design documenta componentes y patrones, y Tecnología documenta desde Storybook (código vivo). Las tres conviven en la misma plataforma.</w:t>
      </w:r>
    </w:p>
    <w:p>
      <w:pPr>
        <w:pStyle w:val="ListParagraph"/>
        <w:numPr>
          <w:ilvl w:val="0"/>
          <w:numId w:val="2"/>
        </w:numPr>
        <w:spacing w:after="60"/>
      </w:pPr>
      <w:r>
        <w:t xml:space="preserve">Zeroheight evolucionó: ahora tiene Token Automation (auto-PR en GitHub desde plan Starter) y un Measurement module completo para rastrear adopción de componentes en código. Ya no es solo documentación.</w:t>
      </w:r>
    </w:p>
    <w:p>
      <w:pPr>
        <w:pStyle w:val="ListParagraph"/>
        <w:numPr>
          <w:ilvl w:val="0"/>
          <w:numId w:val="2"/>
        </w:numPr>
        <w:spacing w:after="60"/>
      </w:pPr>
      <w:r>
        <w:t xml:space="preserve">Supernova va más lejos: transforma los tokens a todos los formatos (CSS, Swift, Kotlin, Dart) sin pipeline adicional, tiene AI Prototyping nativo (Portal/Create) y MCP Relay para alimentar AI coding agents desde el plan Pro.</w:t>
      </w:r>
    </w:p>
    <w:p>
      <w:pPr>
        <w:pStyle w:val="ListParagraph"/>
        <w:numPr>
          <w:ilvl w:val="0"/>
          <w:numId w:val="2"/>
        </w:numPr>
        <w:spacing w:after="60"/>
      </w:pPr>
      <w:r>
        <w:t xml:space="preserve">La diferencia clave ya no es 'pipeline sí vs. pipeline no' — ambos tienen automatización. Es sobre completitud: SN incluye la transformación de formatos, el AI Prototyping y el MCP en Pro; ZH requiere pipeline adicional para formatos y MCP solo en Enterprise.</w:t>
      </w:r>
    </w:p>
    <w:p>
      <w:pPr>
        <w:pStyle w:val="ListParagraph"/>
        <w:numPr>
          <w:ilvl w:val="0"/>
          <w:numId w:val="2"/>
        </w:numPr>
        <w:spacing w:after="60"/>
      </w:pPr>
      <w:r>
        <w:t xml:space="preserve">El costo de Supernova Pro Full ($35/seat) es menor que Zeroheight Starter ($49/editor) para el mismo número de editores.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thick" w:color="059669" w:sz="18"/>
              <w:bottom w:val="single" w:color="059669" w:sz="6"/>
              <w:right w:val="single" w:color="059669" w:sz="6"/>
            </w:tcBorders>
            <w:shd w:fill="ECFDF5" w:val="clear"/>
            <w:tcMar>
              <w:top w:type="dxa" w:w="100"/>
              <w:left w:type="dxa" w:w="180"/>
              <w:bottom w:type="dxa" w:w="100"/>
              <w:right w:type="dxa" w:w="180"/>
            </w:tcMar>
          </w:tcPr>
          <w:p>
            <w:pPr>
              <w:spacing w:after="60"/>
            </w:pPr>
            <w:r>
              <w:rPr>
                <w:b/>
                <w:bCs/>
                <w:color w:val="059669"/>
                <w:sz w:val="19"/>
                <w:szCs w:val="19"/>
              </w:rPr>
              <w:t xml:space="preserve">RECOMENDACIÓN</w:t>
            </w:r>
          </w:p>
          <w:p>
            <w:pPr>
              <w:spacing w:after="0"/>
            </w:pPr>
            <w:r>
              <w:rPr>
                <w:sz w:val="18"/>
                <w:szCs w:val="18"/>
              </w:rPr>
              <w:t xml:space="preserve">Supernova como plataforma principal para la Fase 2 de Renovare. Ambas plataformas ahora tienen automatización a GitHub — la diferencia es de completitud: Supernova incluye la transformación nativa a CSS/Swift/Kotlin, AI Prototyping con tus tokens reales (Portal/Create) y MCP Relay en Pro para alimentar AI coding agents. Zeroheight requiere un pipeline adicional para la transformación de formatos y MCP solo en Enterprise. Supernova también es más barato ($35/seat vs $49/editor) y unifica las tres capas de documentación (Brand Book, componentes, Storybook) en un solo lugar.</w:t>
            </w:r>
          </w:p>
        </w:tc>
      </w:tr>
    </w:tbl>
    <w:p/>
    <w:p>
      <w:pPr>
        <w:pStyle w:val="Heading2"/>
      </w:pPr>
      <w:r>
        <w:rPr>
          <w:b/>
          <w:bCs/>
        </w:rPr>
        <w:t xml:space="preserve">1.3 Scorecard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c>
          <w:tcPr>
            <w:tcW w:type="dxa" w:w="4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Criterio</w:t>
            </w:r>
          </w:p>
        </w:tc>
        <w:tc>
          <w:tcPr>
            <w:tcW w:type="dxa" w:w="15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15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c>
          <w:tcPr>
            <w:tcW w:type="dxa" w:w="23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Ganador</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Facilidad de uso / Onboarding</w:t>
            </w:r>
          </w:p>
        </w:tc>
        <w:tc>
          <w:tcPr>
            <w:tcW w:type="dxa" w:w="1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5/5</w:t>
            </w:r>
          </w:p>
        </w:tc>
        <w:tc>
          <w:tcPr>
            <w:tcW w:type="dxa" w:w="1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3/5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4C51FA"/>
                <w:sz w:val="18"/>
                <w:szCs w:val="18"/>
              </w:rPr>
              <w:t xml:space="preserve">Zeroheight</w:t>
            </w:r>
          </w:p>
        </w:tc>
      </w:tr>
      <w:tr>
        <w:tc>
          <w:tcPr>
            <w:tcW w:type="dxa" w:w="4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Integración Figma + Variables</w:t>
            </w:r>
          </w:p>
        </w:tc>
        <w:tc>
          <w:tcPr>
            <w:tcW w:type="dxa" w:w="1500"/>
            <w:tcBorders>
              <w:top w:val="single" w:color="E5E7EB" w:sz="1"/>
              <w:left w:val="single" w:color="E5E7EB" w:sz="1"/>
              <w:bottom w:val="single" w:color="E5E7EB" w:sz="1"/>
              <w:right w:val="single" w:color="E5E7EB" w:sz="1"/>
            </w:tcBorders>
            <w:shd w:fill="DDE0FE" w:val="clear"/>
            <w:tcMar>
              <w:top w:type="dxa" w:w="80"/>
              <w:left w:type="dxa" w:w="120"/>
              <w:bottom w:type="dxa" w:w="80"/>
              <w:right w:type="dxa" w:w="120"/>
            </w:tcMar>
          </w:tcPr>
          <w:p>
            <w:pPr>
              <w:jc w:val="center"/>
            </w:pPr>
            <w:r>
              <w:rPr>
                <w:color w:val="4C51FA"/>
                <w:sz w:val="18"/>
                <w:szCs w:val="18"/>
              </w:rPr>
              <w:t xml:space="preserve">4/5</w:t>
            </w:r>
          </w:p>
        </w:tc>
        <w:tc>
          <w:tcPr>
            <w:tcW w:type="dxa" w:w="1500"/>
            <w:tcBorders>
              <w:top w:val="single" w:color="E5E7EB" w:sz="1"/>
              <w:left w:val="single" w:color="E5E7EB" w:sz="1"/>
              <w:bottom w:val="single" w:color="E5E7EB" w:sz="1"/>
              <w:right w:val="single" w:color="E5E7EB" w:sz="1"/>
            </w:tcBorders>
            <w:shd w:fill="C6F6E0"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Gestión de design tokens (pipeline)</w:t>
            </w:r>
          </w:p>
        </w:tc>
        <w:tc>
          <w:tcPr>
            <w:tcW w:type="dxa" w:w="1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3/5</w:t>
            </w:r>
          </w:p>
        </w:tc>
        <w:tc>
          <w:tcPr>
            <w:tcW w:type="dxa" w:w="1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Automatización CI/CD → GitHub</w:t>
            </w:r>
          </w:p>
        </w:tc>
        <w:tc>
          <w:tcPr>
            <w:tcW w:type="dxa" w:w="1500"/>
            <w:tcBorders>
              <w:top w:val="single" w:color="E5E7EB" w:sz="1"/>
              <w:left w:val="single" w:color="E5E7EB" w:sz="1"/>
              <w:bottom w:val="single" w:color="E5E7EB" w:sz="1"/>
              <w:right w:val="single" w:color="E5E7EB" w:sz="1"/>
            </w:tcBorders>
            <w:shd w:fill="DDE0FE" w:val="clear"/>
            <w:tcMar>
              <w:top w:type="dxa" w:w="80"/>
              <w:left w:type="dxa" w:w="120"/>
              <w:bottom w:type="dxa" w:w="80"/>
              <w:right w:type="dxa" w:w="120"/>
            </w:tcMar>
          </w:tcPr>
          <w:p>
            <w:pPr>
              <w:jc w:val="center"/>
            </w:pPr>
            <w:r>
              <w:rPr>
                <w:color w:val="4C51FA"/>
                <w:sz w:val="18"/>
                <w:szCs w:val="18"/>
              </w:rPr>
              <w:t xml:space="preserve">3/5</w:t>
            </w:r>
          </w:p>
        </w:tc>
        <w:tc>
          <w:tcPr>
            <w:tcW w:type="dxa" w:w="1500"/>
            <w:tcBorders>
              <w:top w:val="single" w:color="E5E7EB" w:sz="1"/>
              <w:left w:val="single" w:color="E5E7EB" w:sz="1"/>
              <w:bottom w:val="single" w:color="E5E7EB" w:sz="1"/>
              <w:right w:val="single" w:color="E5E7EB" w:sz="1"/>
            </w:tcBorders>
            <w:shd w:fill="C6F6E0"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Calidad de documentación</w:t>
            </w:r>
          </w:p>
        </w:tc>
        <w:tc>
          <w:tcPr>
            <w:tcW w:type="dxa" w:w="1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5/5</w:t>
            </w:r>
          </w:p>
        </w:tc>
        <w:tc>
          <w:tcPr>
            <w:tcW w:type="dxa" w:w="1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4/5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4C51FA"/>
                <w:sz w:val="18"/>
                <w:szCs w:val="18"/>
              </w:rPr>
              <w:t xml:space="preserve">Zeroheight</w:t>
            </w:r>
          </w:p>
        </w:tc>
      </w:tr>
      <w:tr>
        <w:tc>
          <w:tcPr>
            <w:tcW w:type="dxa" w:w="4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Soporte multi-brand nativo</w:t>
            </w:r>
          </w:p>
        </w:tc>
        <w:tc>
          <w:tcPr>
            <w:tcW w:type="dxa" w:w="1500"/>
            <w:tcBorders>
              <w:top w:val="single" w:color="E5E7EB" w:sz="1"/>
              <w:left w:val="single" w:color="E5E7EB" w:sz="1"/>
              <w:bottom w:val="single" w:color="E5E7EB" w:sz="1"/>
              <w:right w:val="single" w:color="E5E7EB" w:sz="1"/>
            </w:tcBorders>
            <w:shd w:fill="DDE0FE" w:val="clear"/>
            <w:tcMar>
              <w:top w:type="dxa" w:w="80"/>
              <w:left w:type="dxa" w:w="120"/>
              <w:bottom w:type="dxa" w:w="80"/>
              <w:right w:type="dxa" w:w="120"/>
            </w:tcMar>
          </w:tcPr>
          <w:p>
            <w:pPr>
              <w:jc w:val="center"/>
            </w:pPr>
            <w:r>
              <w:rPr>
                <w:color w:val="4C51FA"/>
                <w:sz w:val="18"/>
                <w:szCs w:val="18"/>
              </w:rPr>
              <w:t xml:space="preserve">3/5</w:t>
            </w:r>
          </w:p>
        </w:tc>
        <w:tc>
          <w:tcPr>
            <w:tcW w:type="dxa" w:w="1500"/>
            <w:tcBorders>
              <w:top w:val="single" w:color="E5E7EB" w:sz="1"/>
              <w:left w:val="single" w:color="E5E7EB" w:sz="1"/>
              <w:bottom w:val="single" w:color="E5E7EB" w:sz="1"/>
              <w:right w:val="single" w:color="E5E7EB" w:sz="1"/>
            </w:tcBorders>
            <w:shd w:fill="C6F6E0"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Integración Storybook</w:t>
            </w:r>
          </w:p>
        </w:tc>
        <w:tc>
          <w:tcPr>
            <w:tcW w:type="dxa" w:w="1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4/5</w:t>
            </w:r>
          </w:p>
        </w:tc>
        <w:tc>
          <w:tcPr>
            <w:tcW w:type="dxa" w:w="1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Costo base (a igual nro. editores)</w:t>
            </w:r>
          </w:p>
        </w:tc>
        <w:tc>
          <w:tcPr>
            <w:tcW w:type="dxa" w:w="1500"/>
            <w:tcBorders>
              <w:top w:val="single" w:color="E5E7EB" w:sz="1"/>
              <w:left w:val="single" w:color="E5E7EB" w:sz="1"/>
              <w:bottom w:val="single" w:color="E5E7EB" w:sz="1"/>
              <w:right w:val="single" w:color="E5E7EB" w:sz="1"/>
            </w:tcBorders>
            <w:shd w:fill="DDE0FE" w:val="clear"/>
            <w:tcMar>
              <w:top w:type="dxa" w:w="80"/>
              <w:left w:type="dxa" w:w="120"/>
              <w:bottom w:type="dxa" w:w="80"/>
              <w:right w:type="dxa" w:w="120"/>
            </w:tcMar>
          </w:tcPr>
          <w:p>
            <w:pPr>
              <w:jc w:val="center"/>
            </w:pPr>
            <w:r>
              <w:rPr>
                <w:color w:val="4C51FA"/>
                <w:sz w:val="18"/>
                <w:szCs w:val="18"/>
              </w:rPr>
              <w:t xml:space="preserve">3/5</w:t>
            </w:r>
          </w:p>
        </w:tc>
        <w:tc>
          <w:tcPr>
            <w:tcW w:type="dxa" w:w="1500"/>
            <w:tcBorders>
              <w:top w:val="single" w:color="E5E7EB" w:sz="1"/>
              <w:left w:val="single" w:color="E5E7EB" w:sz="1"/>
              <w:bottom w:val="single" w:color="E5E7EB" w:sz="1"/>
              <w:right w:val="single" w:color="E5E7EB" w:sz="1"/>
            </w:tcBorders>
            <w:shd w:fill="C6F6E0" w:val="clear"/>
            <w:tcMar>
              <w:top w:type="dxa" w:w="80"/>
              <w:left w:type="dxa" w:w="120"/>
              <w:bottom w:type="dxa" w:w="80"/>
              <w:right w:type="dxa" w:w="120"/>
            </w:tcMar>
          </w:tcPr>
          <w:p>
            <w:pPr>
              <w:jc w:val="center"/>
            </w:pPr>
            <w:r>
              <w:rPr>
                <w:color w:val="059669"/>
                <w:sz w:val="18"/>
                <w:szCs w:val="18"/>
              </w:rPr>
              <w:t xml:space="preserve">4/5</w:t>
            </w:r>
          </w:p>
        </w:tc>
        <w:tc>
          <w:tcPr>
            <w:tcW w:type="dxa" w:w="23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Escalabilidad a largo plazo</w:t>
            </w:r>
          </w:p>
        </w:tc>
        <w:tc>
          <w:tcPr>
            <w:tcW w:type="dxa" w:w="1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4/5</w:t>
            </w:r>
          </w:p>
        </w:tc>
        <w:tc>
          <w:tcPr>
            <w:tcW w:type="dxa" w:w="1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API / MCP / extensibilidad</w:t>
            </w:r>
          </w:p>
        </w:tc>
        <w:tc>
          <w:tcPr>
            <w:tcW w:type="dxa" w:w="1500"/>
            <w:tcBorders>
              <w:top w:val="single" w:color="E5E7EB" w:sz="1"/>
              <w:left w:val="single" w:color="E5E7EB" w:sz="1"/>
              <w:bottom w:val="single" w:color="E5E7EB" w:sz="1"/>
              <w:right w:val="single" w:color="E5E7EB" w:sz="1"/>
            </w:tcBorders>
            <w:shd w:fill="DDE0FE" w:val="clear"/>
            <w:tcMar>
              <w:top w:type="dxa" w:w="80"/>
              <w:left w:type="dxa" w:w="120"/>
              <w:bottom w:type="dxa" w:w="80"/>
              <w:right w:type="dxa" w:w="120"/>
            </w:tcMar>
          </w:tcPr>
          <w:p>
            <w:pPr>
              <w:jc w:val="center"/>
            </w:pPr>
            <w:r>
              <w:rPr>
                <w:color w:val="4C51FA"/>
                <w:sz w:val="18"/>
                <w:szCs w:val="18"/>
              </w:rPr>
              <w:t xml:space="preserve">3/5</w:t>
            </w:r>
          </w:p>
        </w:tc>
        <w:tc>
          <w:tcPr>
            <w:tcW w:type="dxa" w:w="1500"/>
            <w:tcBorders>
              <w:top w:val="single" w:color="E5E7EB" w:sz="1"/>
              <w:left w:val="single" w:color="E5E7EB" w:sz="1"/>
              <w:bottom w:val="single" w:color="E5E7EB" w:sz="1"/>
              <w:right w:val="single" w:color="E5E7EB" w:sz="1"/>
            </w:tcBorders>
            <w:shd w:fill="C6F6E0" w:val="clear"/>
            <w:tcMar>
              <w:top w:type="dxa" w:w="80"/>
              <w:left w:type="dxa" w:w="120"/>
              <w:bottom w:type="dxa" w:w="80"/>
              <w:right w:type="dxa" w:w="120"/>
            </w:tcMar>
          </w:tcPr>
          <w:p>
            <w:pPr>
              <w:jc w:val="center"/>
            </w:pPr>
            <w:r>
              <w:rPr>
                <w:color w:val="059669"/>
                <w:sz w:val="18"/>
                <w:szCs w:val="18"/>
              </w:rPr>
              <w:t xml:space="preserve">5/5</w:t>
            </w:r>
          </w:p>
        </w:tc>
        <w:tc>
          <w:tcPr>
            <w:tcW w:type="dxa" w:w="23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059669"/>
                <w:sz w:val="18"/>
                <w:szCs w:val="18"/>
              </w:rPr>
              <w:t xml:space="preserve">Supernova</w:t>
            </w:r>
          </w:p>
        </w:tc>
      </w:tr>
      <w:tr>
        <w:tc>
          <w:tcPr>
            <w:tcW w:type="dxa" w:w="4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TOTAL</w:t>
            </w:r>
          </w:p>
        </w:tc>
        <w:tc>
          <w:tcPr>
            <w:tcW w:type="dxa" w:w="15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37/50</w:t>
            </w:r>
          </w:p>
        </w:tc>
        <w:tc>
          <w:tcPr>
            <w:tcW w:type="dxa" w:w="15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46/50</w:t>
            </w:r>
          </w:p>
        </w:tc>
        <w:tc>
          <w:tcPr>
            <w:tcW w:type="dxa" w:w="2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 +9 pts</w:t>
            </w:r>
          </w:p>
        </w:tc>
      </w:tr>
    </w:tbl>
    <w:p/>
    <w:p>
      <w:r>
        <w:br w:type="page"/>
      </w:r>
    </w:p>
    <w:p>
      <w:pPr>
        <w:pStyle w:val="Heading1"/>
      </w:pPr>
      <w:r>
        <w:rPr>
          <w:b/>
          <w:bCs/>
        </w:rPr>
        <w:t xml:space="preserve">2. Perfiles de Plataforma</w:t>
      </w:r>
    </w:p>
    <w:p>
      <w:pPr>
        <w:pStyle w:val="Heading2"/>
      </w:pPr>
      <w:r>
        <w:rPr>
          <w:b/>
          <w:bCs/>
        </w:rPr>
        <w:t xml:space="preserve">2.1 Zeroheight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Campo</w:t>
            </w:r>
          </w:p>
        </w:tc>
        <w:tc>
          <w:tcPr>
            <w:tcW w:type="dxa" w:w="686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Detalle</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Fundación</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2017 · Londres, UK</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Posicionamiento</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Plataforma de documentación y entrega de Design Systems — 4 módulos: Documentation, Delivery, Measurement, Management</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Enfoque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Documentation-first con token delivery: excelente UX de edición, Token Automation a GitHub y Measurement de adopción en código</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Modelo de negocio</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SaaS 100% cloud, sin opción self-hosted</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Plan Free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1 editor, viewers ilimitados, 1 styleguide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Plan Starter</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$49/editor/mes (anual) · Token Automation, Measurement module, branding personalizado, soporte prioritario</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Plan Enterprise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Precio personalizado · SSO/SAML, IP whitelist, MCP integration, permisos granulares, SLA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Figma sync</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Nativa: sincroniza frames, componentes, estilos de color y tipografía. Token Automation detecta cambios y abre PRs en GitHub automáticamente.</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Design tokens</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Token Automation (todos los planes Starter+): abre PRs en GitHub/GitLab/Bitbucket cuando detecta cambios de tokens. La transformación a CSS/Swift/Kotlin se configura en el pipeline del repositorio.</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Measurement</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Módulo completo: package adoption en código de producción, component usage, token/color usage. Analytics de docs, search analytics, feedback inline. Integración con Google Analytics y Hotjar.</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Storybook</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Embed de stories individuales dentro de las páginas de documentación. Solo display, no bidireccional.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GitHub</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Token Automation: abre PRs automáticos de tokens. También sync de contenido Markdown para docs.</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Multi-brand</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Via Workspaces (add-on). Cada marca tiene su propio workspace con sincronización independiente. Costo adicional.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IA</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AI Assistant para edición (todos los planes): redacción, mejora de documentación, sugerencias. AI para viewers en Enterprise. Sin AI Prototyping.</w:t>
            </w:r>
          </w:p>
        </w:tc>
      </w:tr>
      <w:tr>
        <w:tc>
          <w:tcPr>
            <w:tcW w:type="dxa" w:w="25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B2A4A"/>
                <w:sz w:val="18"/>
                <w:szCs w:val="18"/>
              </w:rPr>
              <w:t xml:space="preserve">MCP</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Enterprise only — Model Context Protocol para alimentar contexto del Design System a AI coding assistants (Claude Code, Cursor, Copilot).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API</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API + Management module: governance, workflows de aprobación y SSO. API REST con capacidades de lectura. Sin webhooks robustos.</w:t>
            </w:r>
          </w:p>
        </w:tc>
      </w:tr>
    </w:tbl>
    <w:p/>
    <w:p>
      <w:pPr>
        <w:pStyle w:val="Heading2"/>
      </w:pPr>
      <w:r>
        <w:rPr>
          <w:b/>
          <w:bCs/>
        </w:rPr>
        <w:t xml:space="preserve">2.2 Supernova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Campo</w:t>
            </w:r>
          </w:p>
        </w:tc>
        <w:tc>
          <w:tcPr>
            <w:tcW w:type="dxa" w:w="68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Detalle</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Fundación</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2019 · San Francisco, CA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Posicionamiento</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AI-powered platform for product teams: Design System Platform + Portal (AI Prototyping). Reposicionado en 2025.</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Enfoque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Pipeline completo: Figma Variables → design tokens → múltiples formatos de código → GitHub PR automático. + AI Prototyping con tokens reales.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Modelo de negocio</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SaaS 100% cloud, sin opción self-hosted. Dos productos: Design System Platform y Portal.</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Plan Free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5 usuarios, limits en AI credits y automations. Portal (Ask AI, prototipos básicos) incluido.</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Plan Pro Builder</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$20/builder seat/mes (anual) · Hasta 25 seats, AI credits mensuales, MCP Relay 100K calls/mes</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Plan Pro Full</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$35/full seat/mes (anual) · Acceso completo + automations + AI Prototyping + MCP Relay sin límite adicional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Plan Enterprise</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Precio personalizado · SSO, gov., soporte dedicado, SLA, escala ilimitada, MCP scoping avanzado</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Figma sync</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Nativa y avanzada: Figma Variables, Extended Collections (mar 2026), Modes, Brands. Detección automática de cambios. Rendering de Figma frames en prototipos (mar 2026).</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Design tokens</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Pipeline de entrega completo: convierte tokens a CSS vars, SCSS, JSON, Swift, Kotlin, Dart, Tailwind CSS v4. Abre PRs en Git automáticamente. Write-on-export (IA genera código al exportar).</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Portal / Create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AI Prototyping (Portal Create, nov 2025): prototipa features usando tus bibliotecas de código y tokens reales. Importa desde Figma, genera PRD, exporta vía MCP a coding agents.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Adoption</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Design System Adoption Dashboard (mayo 2026): rastrea qué componentes usan los equipos en producción y cómo evoluciona en el tiempo.</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Storybook</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Integración bidireccional (mayo 2025): conecta Storybook como data source, embed con playground interactivo. La doc se sincroniza con los componentes vivos.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GitHub/GitLab</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Primera clase: auto-PR cuando un token cambia en Figma. Soporta GitHub, GitLab, Bitbucket y Azure DevOps.</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Multi-brand</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Nativo: Brands con value overrides + Figma Extended Collections (mar 2026) para jerarquías multi-brand sin duplicar archivos Figma.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IA</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Supernova Copilot: genera docs de componentes. Ask AI: busca en el DS con lenguaje natural. Portal Create: AI Prototyping. Design System doc en prototyping (feb 2026): el coding agent lee tus docs.</w:t>
            </w:r>
          </w:p>
        </w:tc>
      </w:tr>
      <w:tr>
        <w:tc>
          <w:tcPr>
            <w:tcW w:type="dxa" w:w="25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B2A4A"/>
                <w:sz w:val="18"/>
                <w:szCs w:val="18"/>
              </w:rPr>
              <w:t xml:space="preserve">MCP / Relay</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Supernova Relay: servidor MCP oficial (sept 2025). En Pro+: 100K calls/mes. Alimenta contexto del DS directamente a Claude Code, Cursor, Copilot, Codex. Scoping por equipo en Enterprise.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B2A4A"/>
                <w:sz w:val="18"/>
                <w:szCs w:val="18"/>
              </w:rPr>
              <w:t xml:space="preserve">API</w:t>
            </w:r>
          </w:p>
        </w:tc>
        <w:tc>
          <w:tcPr>
            <w:tcW w:type="dxa" w:w="68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REST API completa + Webhooks configurables para integrar con cualquier pipeline CI/CD existente. SDK disponible.</w:t>
            </w:r>
          </w:p>
        </w:tc>
      </w:tr>
    </w:tbl>
    <w:p/>
    <w:p>
      <w:r>
        <w:br w:type="page"/>
      </w:r>
    </w:p>
    <w:p>
      <w:pPr>
        <w:pStyle w:val="Heading1"/>
      </w:pPr>
      <w:r>
        <w:rPr>
          <w:b/>
          <w:bCs/>
        </w:rPr>
        <w:t xml:space="preserve">3. Análisis por Equipo</w:t>
      </w:r>
    </w:p>
    <w:p>
      <w:pPr>
        <w:spacing w:after="120"/>
      </w:pPr>
      <w:r>
        <w:t xml:space="preserve">A continuación se responden las preguntas clave que haría cada área, asumiendo el rol de sus líderes.</w:t>
      </w:r>
    </w:p>
    <w:p/>
    <w:p>
      <w:pPr>
        <w:pStyle w:val="Heading2"/>
      </w:pPr>
      <w:r>
        <w:rPr>
          <w:b/>
          <w:bCs/>
        </w:rPr>
        <w:t xml:space="preserve">3.1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2A" w:sz="6"/>
              <w:left w:val="thick" w:color="D4892A" w:sz="18"/>
              <w:bottom w:val="single" w:color="D4892A" w:sz="6"/>
              <w:right w:val="single" w:color="D4892A" w:sz="6"/>
            </w:tcBorders>
            <w:shd w:fill="FFF3DC" w:val="clear"/>
            <w:tcMar>
              <w:top w:type="dxa" w:w="100"/>
              <w:left w:type="dxa" w:w="180"/>
              <w:bottom w:type="dxa" w:w="100"/>
              <w:right w:type="dxa" w:w="180"/>
            </w:tcMar>
          </w:tcPr>
          <w:p>
            <w:pPr>
              <w:spacing w:after="60"/>
            </w:pPr>
            <w:r>
              <w:rPr>
                <w:b/>
                <w:bCs/>
                <w:color w:val="D4892A"/>
                <w:sz w:val="19"/>
                <w:szCs w:val="19"/>
              </w:rPr>
              <w:t xml:space="preserve">Preocupación principal</w:t>
            </w:r>
          </w:p>
          <w:p>
            <w:pPr>
              <w:spacing w:after="0"/>
            </w:pPr>
            <w:r>
              <w:rPr>
                <w:sz w:val="18"/>
                <w:szCs w:val="18"/>
              </w:rPr>
              <w:t xml:space="preserve">Mantener el Brand Book actualizado sin depender de Tecnología, y gestionar sub-marcas o campañas con acceso controlado para agencias externas.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Pregunta de Marketing</w:t>
            </w:r>
          </w:p>
        </w:tc>
        <w:tc>
          <w:tcPr>
            <w:tcW w:type="dxa" w:w="3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¿Puede Marketing actualizar el brand book sin ayuda de Tecnología?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Sí. Editor visual no-code, arrastrar y soltar, sin HTML.</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El setup inicial requiere Tecnología, pero el día a día de edición de docs es accesible para no-técnicos.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¿Se puede manejar más de una marca dentro de la misma plataforma?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Sí, mediante Workspaces (add-on pago). Requiere mantener por separado cada workspace.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Sí, nativo. Brands con overrides. Un cambio global se hereda por todas las marcas automáticamente.</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¿Las agencias externas pueden tener acceso limitado (solo lectura)?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Viewers ilimitados en todos los planes. Se comparte un link público o con acceso restringido.</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Viewers configurables. Acceso por workspace o sección. Enterprise ofrece control granular de permisos.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¿Se pueden referenciar assets de campaña (logos, colores, tipografía) desde la plataforma?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Links directos a frames y assets en Figma embebidos en páginas del Brand Book. Los archivos finales (PNG, SVG) se descargan desde Figma directamente.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Idem. La plataforma documenta las especificaciones y guías de uso. Los archivos físicos viven en Figma — la plataforma no los almacena ni distribuye.</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¿Es fácil de aprender para alguien no técnico?</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Curva de aprendizaje muy baja. Interfaz similar a Notion/Webflow.</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La interfaz de docs es accesible, pero la configuración inicial de pipelines requiere soporte de Tecnología.</w:t>
            </w:r>
          </w:p>
        </w:tc>
      </w:tr>
    </w:tbl>
    <w:p/>
    <w:p>
      <w:pPr>
        <w:pStyle w:val="Heading2"/>
      </w:pPr>
      <w:r>
        <w:rPr>
          <w:b/>
          <w:bCs/>
        </w:rPr>
        <w:t xml:space="preserve">3.2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51FA" w:sz="6"/>
              <w:left w:val="thick" w:color="4C51FA" w:sz="18"/>
              <w:bottom w:val="single" w:color="4C51FA" w:sz="6"/>
              <w:right w:val="single" w:color="4C51FA" w:sz="6"/>
            </w:tcBorders>
            <w:shd w:fill="EEF0FF" w:val="clear"/>
            <w:tcMar>
              <w:top w:type="dxa" w:w="100"/>
              <w:left w:type="dxa" w:w="180"/>
              <w:bottom w:type="dxa" w:w="100"/>
              <w:right w:type="dxa" w:w="180"/>
            </w:tcMar>
          </w:tcPr>
          <w:p>
            <w:pPr>
              <w:spacing w:after="60"/>
            </w:pPr>
            <w:r>
              <w:rPr>
                <w:b/>
                <w:bCs/>
                <w:color w:val="4C51FA"/>
                <w:sz w:val="19"/>
                <w:szCs w:val="19"/>
              </w:rPr>
              <w:t xml:space="preserve">Preocupación principal</w:t>
            </w:r>
          </w:p>
          <w:p>
            <w:pPr>
              <w:spacing w:after="0"/>
            </w:pPr>
            <w:r>
              <w:rPr>
                <w:sz w:val="18"/>
                <w:szCs w:val="18"/>
              </w:rPr>
              <w:t xml:space="preserve">Que la plataforma funcione como repositorio central de assets de marca accesible para Marketing: ilustraciones, imágenes de campaña, guías de identidad visual (colores, tipografía, uso de logo). El equipo de Diseño necesita publicar y actualizar esos assets sin depender de Tecnología, y que Marketing pueda consumirlos directamente.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Pregunta de Diseño</w:t>
            </w:r>
          </w:p>
        </w:tc>
        <w:tc>
          <w:tcPr>
            <w:tcW w:type="dxa" w:w="3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¿Pueden publicar y mantener el Brand Book (tipografía, colores, uso de logo, voz visual) sin ayuda de Tecnología?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Editor visual no-code: arrastrar y soltar, similar a Notion. El equipo de Diseño puede crear y actualizar páginas del Brand Book de forma autónoma desde el día 1.</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El editor de documentación es accesible para no-técnicos en el día a día, pero la configuración inicial de la plataforma (conectar Figma, definir estructura, permisos) requiere 1-2 días de soporte de Tecnología.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¿Puede Marketing acceder al Brand Book sin intermediarios?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Viewers ilimitados en todos los planes. URL pública o protegida con contraseña. Sin necesidad de cuenta.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Idem. URL pública o restringida. Viewers no cuentan en el billing.</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¿Se puede documentar identidad visual completa — colores, tipografía, uso de logo, tono de voz?</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Sí, es el caso de uso principal. Excelente UX para redactar guías narrativas con ejemplos visuales.</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Sí, soportado. Aunque la fortaleza de Supernova está en tokens/código, la documentación de marca funciona bien.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¿Las agencias externas pueden acceder como viewers?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URL pública sin cuenta requerida. Viewer experience limpia y profesional.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Idem. Sin necesidad de cuenta para acceso viewer.</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¿Hay historial o versiones de las páginas del Brand Book?</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Sin historial automático de páginas. El equipo de Diseño gestiona versiones publicando manualmente una nueva revisión.</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Historial de cambios en documentación vinculado a cada publicación. Cada actualización queda registrada con timestamp y autor.</w:t>
            </w:r>
          </w:p>
        </w:tc>
      </w:tr>
    </w:tbl>
    <w:p/>
    <w:p>
      <w:pPr>
        <w:pStyle w:val="Heading2"/>
      </w:pPr>
      <w:r>
        <w:rPr>
          <w:b/>
          <w:bCs/>
        </w:rPr>
        <w:t xml:space="preserve">3.3 Producto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2A" w:sz="6"/>
              <w:left w:val="thick" w:color="D4892A" w:sz="18"/>
              <w:bottom w:val="single" w:color="D4892A" w:sz="6"/>
              <w:right w:val="single" w:color="D4892A" w:sz="6"/>
            </w:tcBorders>
            <w:shd w:fill="FFF3DC" w:val="clear"/>
            <w:tcMar>
              <w:top w:type="dxa" w:w="100"/>
              <w:left w:type="dxa" w:w="180"/>
              <w:bottom w:type="dxa" w:w="100"/>
              <w:right w:type="dxa" w:w="180"/>
            </w:tcMar>
          </w:tcPr>
          <w:p>
            <w:pPr>
              <w:spacing w:after="60"/>
            </w:pPr>
            <w:r>
              <w:rPr>
                <w:b/>
                <w:bCs/>
                <w:color w:val="D4892A"/>
                <w:sz w:val="19"/>
                <w:szCs w:val="19"/>
              </w:rPr>
              <w:t xml:space="preserve">Preocupación principal</w:t>
            </w:r>
          </w:p>
          <w:p>
            <w:pPr>
              <w:spacing w:after="0"/>
            </w:pPr>
            <w:r>
              <w:rPr>
                <w:sz w:val="18"/>
                <w:szCs w:val="18"/>
              </w:rPr>
              <w:t xml:space="preserve">Referenciar el design system al escribir specs y PRDs sin depender de Diseño de Producto, saber qué componentes están disponibles y cuál es su estado, recibir comunicación clara de breaking changes, y poder dar feedback sobre el DS directamente desde la plataforma.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Pregunta de Producto</w:t>
            </w:r>
          </w:p>
        </w:tc>
        <w:tc>
          <w:tcPr>
            <w:tcW w:type="dxa" w:w="3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¿Puede el equipo de Producto consultar el design system sin pedir ayuda técnica?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Sí. Viewer experience intuitiva, similar a Notion. Búsqueda de componentes y tokens sin cuenta requerida.</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Sí. Viewers navegan sin configuración. Ask AI permite buscar el DS con lenguaje natural.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¿Puede ver qué componentes están en Beta, Stable o Deprecated al escribir un spec?</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Etiquetas de estado configurables por Diseño de Producto. Visibles para todos los viewers.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Idem. Estado de componente puede vincularse además al estado real del componente en Storybook — más confiable.</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¿Se puede referenciar el DS desde Notion, Jira o Linear al escribir specs?</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Embed de páginas vía link. Sin integración nativa con herramientas de PM.</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Idem. Links embebibles. Sin conexión directa a tickets o épicas.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¿Hay comunicación proactiva de breaking changes o actualizaciones del DS?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Feedback inline en docs (Measurement module, Starter+): Producto puede comentar directamente en la página del componente. Los cambios los publica Diseño de Producto manualmente.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Sin sistema de notificaciones push. Los cambios se comunican vía el historial de PRs en GitHub — útil para Tecnología, menos accesible para perfiles no técnicos como PMs.</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¿Puede el equipo de Producto dar feedback sobre el design system desde la plataforma?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Feedback inline (Measurement module): comentarios directos en páginas de componentes, sin salir del DS. Integra con Google Analytics y Hotjar.</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Sin módulo de feedback inline dedicado. El feedback se canaliza fuera de la plataforma (Slack, GitHub Issues).</w:t>
            </w:r>
          </w:p>
        </w:tc>
      </w:tr>
    </w:tbl>
    <w:p/>
    <w:p>
      <w:pPr>
        <w:pStyle w:val="Heading2"/>
      </w:pPr>
      <w:r>
        <w:rPr>
          <w:b/>
          <w:bCs/>
        </w:rPr>
        <w:t xml:space="preserve">3.4 Diseño de Producto (Product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51FA" w:sz="6"/>
              <w:left w:val="thick" w:color="4C51FA" w:sz="18"/>
              <w:bottom w:val="single" w:color="4C51FA" w:sz="6"/>
              <w:right w:val="single" w:color="4C51FA" w:sz="6"/>
            </w:tcBorders>
            <w:shd w:fill="EEF0FF" w:val="clear"/>
            <w:tcMar>
              <w:top w:type="dxa" w:w="100"/>
              <w:left w:type="dxa" w:w="180"/>
              <w:bottom w:type="dxa" w:w="100"/>
              <w:right w:type="dxa" w:w="180"/>
            </w:tcMar>
          </w:tcPr>
          <w:p>
            <w:pPr>
              <w:spacing w:after="60"/>
            </w:pPr>
            <w:r>
              <w:rPr>
                <w:b/>
                <w:bCs/>
                <w:color w:val="4C51FA"/>
                <w:sz w:val="19"/>
                <w:szCs w:val="19"/>
              </w:rPr>
              <w:t xml:space="preserve">Preocupación principal</w:t>
            </w:r>
          </w:p>
          <w:p>
            <w:pPr>
              <w:spacing w:after="0"/>
            </w:pPr>
            <w:r>
              <w:rPr>
                <w:sz w:val="18"/>
                <w:szCs w:val="18"/>
              </w:rPr>
              <w:t xml:space="preserve">Sync automático con Figma Variables y tokens, documentación de componentes viva y vinculada a código real, Storybook integrado como referencia bidireccional, y visibilidad de qué componentes usa Tecnología en producción — para priorizar mantenimiento y deprecaciones con datos reales.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Pregunta de Diseño de Producto</w:t>
            </w:r>
          </w:p>
        </w:tc>
        <w:tc>
          <w:tcPr>
            <w:tcW w:type="dxa" w:w="3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¿Qué tan automático es el sync con Figma Variables y componentes?</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Sync de frames y estilos con un clic. No gestiona Figma Variables como pipeline de tokens.</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Sync nativo de Variables, Collections y Modes. Detecta cambios en Figma y dispara el pipeline automáticamente.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¿Soporta multi-brand (light/dark, temas) sin duplicar trabajo en Figma?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Via múltiples styleguides o tabs por tema. La deduplicación de contenido es manual.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Brands + Modes nativos + Extended Collections (mar 2026). Los overrides son locales; la base es compartida. Cero duplicación.</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¿Es compatible con el pipeline Later v2.0 (tokens actuales)?</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Consume el output y lo muestra, pero no reemplaza ni automatiza el pipeline de transformación.</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Puede actuar como motor de transformación completo o coexistir con el repo existente. Los tokens actuales son importables.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¿Se conecta con Storybook para mostrar componentes vivos?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Embed de stories individuales dentro de las páginas de docs. Solo display — no sync bidireccional.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Sync bidireccional (mayo 2025): Storybook como data source. Cambios en tokens → PR automático → Storybook se actualiza. Playground interactivo embebido.</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¿Hay analytics de adopción para saber qué componentes usa Tecnología en producción?</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Measurement module (Starter+): package adoption en código de producción, component usage por repositorio, token/color usage. Clave para priorizar qué componentes mantener o deprecar.</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Design System Adoption Dashboard (mayo 2026): rastrea qué componentes usan los equipos en código de producción y cómo evoluciona la adopción en el tiempo.</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¿Tiene soporte para IA en la generación de docs de componentes?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AI Assistant (todos los planes): asistente de redacción básico para páginas de docs.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Supernova Copilot: genera borradores completos de documentación de componentes a partir de los metadatos del token y el código. Ask AI: búsqueda del DS en lenguaje natural.</w:t>
            </w:r>
          </w:p>
        </w:tc>
      </w:tr>
    </w:tbl>
    <w:p/>
    <w:p>
      <w:pPr>
        <w:pStyle w:val="Heading2"/>
      </w:pPr>
      <w:r>
        <w:rPr>
          <w:b/>
          <w:bCs/>
        </w:rPr>
        <w:t xml:space="preserve">3.5 Tecnología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thick" w:color="059669" w:sz="18"/>
              <w:bottom w:val="single" w:color="059669" w:sz="6"/>
              <w:right w:val="single" w:color="059669" w:sz="6"/>
            </w:tcBorders>
            <w:shd w:fill="ECFDF5" w:val="clear"/>
            <w:tcMar>
              <w:top w:type="dxa" w:w="100"/>
              <w:left w:type="dxa" w:w="180"/>
              <w:bottom w:type="dxa" w:w="100"/>
              <w:right w:type="dxa" w:w="180"/>
            </w:tcMar>
          </w:tcPr>
          <w:p>
            <w:pPr>
              <w:spacing w:after="60"/>
            </w:pPr>
            <w:r>
              <w:rPr>
                <w:b/>
                <w:bCs/>
                <w:color w:val="059669"/>
                <w:sz w:val="19"/>
                <w:szCs w:val="19"/>
              </w:rPr>
              <w:t xml:space="preserve">Preocupación principal</w:t>
            </w:r>
          </w:p>
          <w:p>
            <w:pPr>
              <w:spacing w:after="0"/>
            </w:pPr>
            <w:r>
              <w:rPr>
                <w:sz w:val="18"/>
                <w:szCs w:val="18"/>
              </w:rPr>
              <w:t xml:space="preserve">Automatización real del pipeline de tokens (sin pasos manuales), integración con GitHub con transformación a los formatos del proyecto (CSS, Swift, Kotlin), seguridad/SSO, extensibilidad vía MCP para AI coding agents, y capacidad de integrarse con el toolchain existente.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Pregunta de Tecnología</w:t>
            </w:r>
          </w:p>
        </w:tc>
        <w:tc>
          <w:tcPr>
            <w:tcW w:type="dxa" w:w="3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¿Puede abrir un Pull Request automático en GitHub cuando un token cambia en Figma?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Sí. Token Automation disponible en plan Starter+. Detecta cambios, abre PRs en GitHub, GitLab o Bitbucket automáticamente. La transformación a formatos específicos (CSS, Swift, Kotlin) se configura en el repo destino.</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Sí. Pipeline nativo: Figma change → detect → transform a CSS/Swift/Kotlin/Dart → PR en GitHub/GitLab/Bitbucket/Azure DevOps. Transformación completa incluida sin pipeline adicional.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¿Tiene API pública para integrar con nuestro pipeline?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API con capacidades de lectura. Management module para governance. Sin webhooks robustos.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REST API completa + Webhooks configurables. Se puede integrar con GitHub Actions, Bitbucket Pipelines, Azure DevOps, etc.</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¿Exporta tokens en los formatos que necesitamos (CSS, Swift, Kotlin, JSON)?</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Token Automation entrega tokens a GitHub vía PR. La transformación a CSS, Swift, Kotlin requiere pipeline adicional en el repositorio (ej. Style Dictionary). No transforma de forma nativa.</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CSS custom properties, SCSS, JSON (DTCG W3C), Swift, Kotlin, Dart, Tailwind CSS v4. Exporters personalizables en TypeScript. Write-on-export: IA genera código durante el export.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¿Soporta MCP para AI coding assistants (Claude Code, Cursor, Copilot)?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Solo Enterprise — MCP integration para alimentar contexto del DS a agentes de código.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Supernova Relay MCP disponible en Pro+ (100K calls/mes). Scoping por equipo en Enterprise. El coding agent lee directamente tu DS, tokens y docs.</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¿Tiene SSO / SAML para autenticación corporativa?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Sí, en Enterprise.</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Sí, en Enterprise.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¿Dónde viven los datos? ¿Es seguro?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SaaS en AWS. SOC 2 Type II. GDPR compliant. IP whitelisting en Enterprise.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SaaS. SOC 2 Type II. GDPR compliant. Auditoría de accesos en Enterprise.</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¿Puede integrarse con nuestro pipeline de Style Dictionary existente?</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Token Automation puede coexistir con Style Dictionary. ZH entrega los tokens al repo; SD hace la transformación.</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Puede reemplazar Style Dictionary por completo. Los exporters de Supernova son scripts TypeScript equivalentes a los transforms de SD. Los tokens existentes son importables.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¿Tiene soporte para pipelines condicionales (web vs. mobile)?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Token Automation configurable, pero sin soporte nativo para pipelines por plataforma. Requiere configuración en el repo.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Sí. Pipelines separados por Brand + plataforma. Cada pipeline (CSS, Swift, Kotlin) se activa con trigger distinto.</w:t>
            </w:r>
          </w:p>
        </w:tc>
      </w:tr>
      <w:tr>
        <w:tc>
          <w:tcPr>
            <w:tcW w:type="dxa" w:w="3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¿Cómo se integra con Storybook, la herramienta de Tecnología para construir componentes?</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Embed de Storybook stories individuales en páginas de documentación. Flujo unidireccional: el developer publica en Storybook y lo embebe manualmente en ZH. No hay sync automático.</w:t>
            </w:r>
          </w:p>
        </w:tc>
        <w:tc>
          <w:tcPr>
            <w:tcW w:type="dxa" w:w="3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Sync bidireccional (mayo 2025): Supernova importa Storybook como data source y embebe el playground interactivo con código vivo. Cambios en tokens vía PR se propagan hacia Storybook automáticamente. Storybook se convierte en la fuente de verdad técnica que alimenta la documentación en Supernova.</w:t>
            </w:r>
          </w:p>
        </w:tc>
      </w:tr>
    </w:tbl>
    <w:p/>
    <w:p>
      <w:r>
        <w:br w:type="page"/>
      </w:r>
    </w:p>
    <w:p>
      <w:pPr>
        <w:pStyle w:val="Heading1"/>
      </w:pPr>
      <w:r>
        <w:rPr>
          <w:b/>
          <w:bCs/>
        </w:rPr>
        <w:t xml:space="preserve">4. Análisis de Costos</w:t>
      </w:r>
    </w:p>
    <w:p>
      <w:pPr>
        <w:spacing w:after="120"/>
      </w:pPr>
      <w:r>
        <w:t xml:space="preserve">Los siguientes precios están en USD y corresponden a información pública disponible a junio 2026. Los planes Enterprise requieren cotización directa con cada proveedor.</w:t>
      </w:r>
    </w:p>
    <w:p/>
    <w:p>
      <w:pPr>
        <w:pStyle w:val="Heading2"/>
      </w:pPr>
      <w:r>
        <w:rPr>
          <w:b/>
          <w:bCs/>
        </w:rPr>
        <w:t xml:space="preserve">4.1 Tabla de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Plan</w:t>
            </w:r>
          </w:p>
        </w:tc>
        <w:tc>
          <w:tcPr>
            <w:tcW w:type="dxa" w:w="2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2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c>
          <w:tcPr>
            <w:tcW w:type="dxa" w:w="35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Notas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Free</w:t>
            </w:r>
          </w:p>
        </w:tc>
        <w:tc>
          <w:tcPr>
            <w:tcW w:type="dxa" w:w="2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$0</w:t>
            </w:r>
          </w:p>
        </w:tc>
        <w:tc>
          <w:tcPr>
            <w:tcW w:type="dxa" w:w="20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$0 / mes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6B7280"/>
                <w:sz w:val="18"/>
                <w:szCs w:val="18"/>
              </w:rPr>
              <w:t xml:space="preserve">ZH: 1 editor, viewers ilimitados. SN: 5 usuarios, limits en AI y automations.</w:t>
            </w:r>
          </w:p>
        </w:tc>
      </w:tr>
      <w:tr>
        <w:tc>
          <w:tcPr>
            <w:tcW w:type="dxa" w:w="18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Starter / Pro Builder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4C51FA"/>
                <w:sz w:val="18"/>
                <w:szCs w:val="18"/>
              </w:rPr>
              <w:t xml:space="preserve">$49/editor/mes (anual)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059669"/>
                <w:sz w:val="18"/>
                <w:szCs w:val="18"/>
              </w:rPr>
              <w:t xml:space="preserve">$20/builder/mes (anual)</w:t>
            </w:r>
          </w:p>
        </w:tc>
        <w:tc>
          <w:tcPr>
            <w:tcW w:type="dxa" w:w="35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6B7280"/>
                <w:sz w:val="18"/>
                <w:szCs w:val="18"/>
              </w:rPr>
              <w:t xml:space="preserve">ZH: Starter (único plan paid, incluye Token Automation + Measurement). SN: Pro Builder (builder seats).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 Pro Full</w:t>
            </w:r>
          </w:p>
        </w:tc>
        <w:tc>
          <w:tcPr>
            <w:tcW w:type="dxa" w:w="2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center"/>
            </w:pPr>
            <w:r>
              <w:rPr>
                <w:color w:val="4C51FA"/>
                <w:sz w:val="18"/>
                <w:szCs w:val="18"/>
              </w:rPr>
              <w:t xml:space="preserve">—</w:t>
            </w:r>
          </w:p>
        </w:tc>
        <w:tc>
          <w:tcPr>
            <w:tcW w:type="dxa" w:w="20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$35/full seat/mes (anual)</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6B7280"/>
                <w:sz w:val="18"/>
                <w:szCs w:val="18"/>
              </w:rPr>
              <w:t xml:space="preserve">SN: Pro Full (acceso completo + MCP Relay 100K calls/mes). ZH no tiene equivalente — solo Starter o Enterprise.</w:t>
            </w:r>
          </w:p>
        </w:tc>
      </w:tr>
      <w:tr>
        <w:tc>
          <w:tcPr>
            <w:tcW w:type="dxa" w:w="18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Enterprise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4C51FA"/>
                <w:sz w:val="18"/>
                <w:szCs w:val="18"/>
              </w:rPr>
              <w:t xml:space="preserve">Precio personalizado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059669"/>
                <w:sz w:val="18"/>
                <w:szCs w:val="18"/>
              </w:rPr>
              <w:t xml:space="preserve">Precio personalizado</w:t>
            </w:r>
          </w:p>
        </w:tc>
        <w:tc>
          <w:tcPr>
            <w:tcW w:type="dxa" w:w="35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6B7280"/>
                <w:sz w:val="18"/>
                <w:szCs w:val="18"/>
              </w:rPr>
              <w:t xml:space="preserve">ZH: + MCP integration. SN: + MCP scoping avanzado. Ambos SSO, SLA, soporte dedicado. Solicitar cotización.</w:t>
            </w:r>
          </w:p>
        </w:tc>
      </w:tr>
    </w:tbl>
    <w:p/>
    <w:p>
      <w:pPr>
        <w:pStyle w:val="Heading2"/>
      </w:pPr>
      <w:r>
        <w:rPr>
          <w:b/>
          <w:bCs/>
        </w:rPr>
        <w:t xml:space="preserve">4.2 Escenario para 100 Ladrillos (estimado)</w:t>
      </w:r>
    </w:p>
    <w:p>
      <w:pPr>
        <w:spacing w:after="120"/>
      </w:pPr>
      <w:r>
        <w:t xml:space="preserve">Asumiendo 5 editores / designers activos (precios junio 2026,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Escenario</w:t>
            </w:r>
          </w:p>
        </w:tc>
        <w:tc>
          <w:tcPr>
            <w:tcW w:type="dxa" w:w="2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Costo mensual</w:t>
            </w:r>
          </w:p>
        </w:tc>
        <w:tc>
          <w:tcPr>
            <w:tcW w:type="dxa" w:w="2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Costo anual</w:t>
            </w:r>
          </w:p>
        </w:tc>
        <w:tc>
          <w:tcPr>
            <w:tcW w:type="dxa" w:w="25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Diferencia</w:t>
            </w:r>
          </w:p>
        </w:tc>
      </w:tr>
      <w:tr>
        <w:tc>
          <w:tcPr>
            <w:tcW w:type="dxa" w:w="28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4C51FA"/>
                <w:sz w:val="18"/>
                <w:szCs w:val="18"/>
              </w:rPr>
              <w:t xml:space="preserve">Zeroheight Starter · 5 editores (anual)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$245 / mes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$2,940 / año</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6B7280"/>
                <w:sz w:val="18"/>
                <w:szCs w:val="18"/>
              </w:rPr>
              <w:t xml:space="preserve">Base de comparación</w:t>
            </w:r>
          </w:p>
        </w:tc>
      </w:tr>
      <w:tr>
        <w:tc>
          <w:tcPr>
            <w:tcW w:type="dxa" w:w="28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059669"/>
                <w:sz w:val="18"/>
                <w:szCs w:val="18"/>
              </w:rPr>
              <w:t xml:space="preserve">Supernova Pro Full · 5 full seats (anual)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$175 / mes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$2,100 / año</w:t>
            </w:r>
          </w:p>
        </w:tc>
        <w:tc>
          <w:tcPr>
            <w:tcW w:type="dxa" w:w="25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Ahorro de ~$840/año (≈ 28%)</w:t>
            </w:r>
          </w:p>
        </w:tc>
      </w:tr>
      <w:tr>
        <w:tc>
          <w:tcPr>
            <w:tcW w:type="dxa" w:w="28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059669"/>
                <w:sz w:val="18"/>
                <w:szCs w:val="18"/>
              </w:rPr>
              <w:t xml:space="preserve">Supernova Pro Builder · 5 builder seats (anual)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$100 / mes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$1,200 / año</w:t>
            </w:r>
          </w:p>
        </w:tc>
        <w:tc>
          <w:tcPr>
            <w:tcW w:type="dxa" w:w="25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color w:val="059669"/>
                <w:sz w:val="18"/>
                <w:szCs w:val="18"/>
              </w:rPr>
              <w:t xml:space="preserve">Ahorro de ~$1,740/año (≈ 59%)</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2A" w:sz="6"/>
              <w:left w:val="thick" w:color="D4892A" w:sz="18"/>
              <w:bottom w:val="single" w:color="D4892A" w:sz="6"/>
              <w:right w:val="single" w:color="D4892A" w:sz="6"/>
            </w:tcBorders>
            <w:shd w:fill="FFF3DC" w:val="clear"/>
            <w:tcMar>
              <w:top w:type="dxa" w:w="100"/>
              <w:left w:type="dxa" w:w="180"/>
              <w:bottom w:type="dxa" w:w="100"/>
              <w:right w:type="dxa" w:w="180"/>
            </w:tcMar>
          </w:tcPr>
          <w:p>
            <w:pPr>
              <w:spacing w:after="60"/>
            </w:pPr>
            <w:r>
              <w:rPr>
                <w:b/>
                <w:bCs/>
                <w:color w:val="D4892A"/>
                <w:sz w:val="19"/>
                <w:szCs w:val="19"/>
              </w:rPr>
              <w:t xml:space="preserve">Nota importante sobre costos ocultos</w:t>
            </w:r>
          </w:p>
          <w:p>
            <w:pPr>
              <w:spacing w:after="0"/>
            </w:pPr>
            <w:r>
              <w:rPr>
                <w:sz w:val="18"/>
                <w:szCs w:val="18"/>
              </w:rPr>
              <w:t xml:space="preserve">Con Token Automation de Zeroheight (Starter+), el PR de tokens llega automáticamente al repo. Sin embargo, el pipeline de transformación en el repositorio (convertir a CSS, Swift, Kotlin) sigue requiriendo mantenimiento de Tecnología. Supernova incluye esa transformación en la plataforma. Estimando 2-4 horas/mes de Tecnología en mantenimiento del pipeline de transformación con ZH, ese costo operativo supera el diferencial de precio entre ambas plataformas.</w:t>
            </w:r>
          </w:p>
        </w:tc>
      </w:tr>
    </w:tbl>
    <w:p/>
    <w:p>
      <w:r>
        <w:br w:type="page"/>
      </w:r>
    </w:p>
    <w:p>
      <w:pPr>
        <w:pStyle w:val="Heading1"/>
      </w:pPr>
      <w:r>
        <w:rPr>
          <w:b/>
          <w:bCs/>
        </w:rPr>
        <w:t xml:space="preserve">5. Escalabilidad y Mantenimiento</w:t>
      </w:r>
    </w:p>
    <w:p/>
    <w:p>
      <w:pPr>
        <w:pStyle w:val="Heading2"/>
      </w:pPr>
      <w:r>
        <w:rPr>
          <w:b/>
          <w:bCs/>
        </w:rPr>
        <w:t xml:space="preserve">5.1 Actualización de tokens</w:t>
      </w:r>
    </w:p>
    <w:p>
      <w:pPr>
        <w:pStyle w:val="Heading3"/>
      </w:pPr>
      <w:r>
        <w:rPr>
          <w:b/>
          <w:bCs/>
        </w:rPr>
        <w:t xml:space="preserve">Zeroheight</w:t>
      </w:r>
    </w:p>
    <w:p>
      <w:pPr>
        <w:spacing w:after="120"/>
      </w:pPr>
      <w:r>
        <w:t xml:space="preserve">Con Token Automation (plan Starter+): el designer actualiza una variable en Figma, Zeroheight detecta el cambio y abre un PR automático en GitHub. Sin embargo, la transformación del token a los formatos del proyecto (CSS, Swift, Kotlin) sigue requiriendo un pipeline en el repositorio (ej. Style Dictionary). Zeroheight entrega el cambio al repo — la transformación ocurre del lado del developer.</w:t>
      </w:r>
    </w:p>
    <w:p>
      <w:pPr>
        <w:pStyle w:val="Heading3"/>
      </w:pPr>
      <w:r>
        <w:rPr>
          <w:b/>
          <w:bCs/>
        </w:rPr>
        <w:t xml:space="preserve">Supernova</w:t>
      </w:r>
    </w:p>
    <w:p>
      <w:pPr>
        <w:spacing w:after="120"/>
      </w:pPr>
      <w:r>
        <w:t xml:space="preserve">El proceso es completamente automatizado, incluyendo la transformación de formatos. El designer actualiza una variable en Figma. Supernova detecta el cambio, ejecuta el pipeline de transformación nativo, y abre un Pull Request en GitHub/GitLab/Bitbucket/Azure DevOps con el token actualizado en todos los formatos configurados (CSS, Swift, Kotlin, Dart). Tecnología solo revisa y aprueba el PR. No se requiere pipeline adicional en el repositorio.</w:t>
      </w:r>
    </w:p>
    <w:p/>
    <w:p>
      <w:pPr>
        <w:pStyle w:val="Heading2"/>
      </w:pPr>
      <w:r>
        <w:rPr>
          <w:b/>
          <w:bCs/>
        </w:rPr>
        <w:t xml:space="preserve">5.2 Multi-brand y temas</w:t>
      </w:r>
    </w:p>
    <w:p>
      <w:pPr>
        <w:pStyle w:val="Heading3"/>
      </w:pPr>
      <w:r>
        <w:rPr>
          <w:b/>
          <w:bCs/>
        </w:rPr>
        <w:t xml:space="preserve">Zeroheight</w:t>
      </w:r>
    </w:p>
    <w:p>
      <w:pPr>
        <w:spacing w:after="120"/>
      </w:pPr>
      <w:r>
        <w:t xml:space="preserve">Requiere un Workspace separado por marca o sub-producto. El mantenimiento se duplica: un cambio en los tokens compartidos debe aplicarse manualmente en cada workspace. El add-on de Workspaces tiene costo adicional no publicado (requiere contacto con ventas).</w:t>
      </w:r>
    </w:p>
    <w:p>
      <w:pPr>
        <w:pStyle w:val="Heading3"/>
      </w:pPr>
      <w:r>
        <w:rPr>
          <w:b/>
          <w:bCs/>
        </w:rPr>
        <w:t xml:space="preserve">Supernova</w:t>
      </w:r>
    </w:p>
    <w:p>
      <w:pPr>
        <w:spacing w:after="120"/>
      </w:pPr>
      <w:r>
        <w:t xml:space="preserve">Brands nativos con value overrides. Un cambio en el token base (ej. el color primario de 100 Ladrillos) se hereda por todas las sub-marcas automáticamente. Solo las excepciones explícitas (override) se mantienen por separado. Figma Extended Collections (disponible desde marzo 2026) permite también extender colecciones entre marcas sin duplicar archivos Figma.</w:t>
      </w:r>
    </w:p>
    <w:p/>
    <w:p>
      <w:pPr>
        <w:pStyle w:val="Heading2"/>
      </w:pPr>
      <w:r>
        <w:rPr>
          <w:b/>
          <w:bCs/>
        </w:rPr>
        <w:t xml:space="preserve">5.3 Onboarding de nuevos miembros del equipo</w:t>
      </w:r>
    </w:p>
    <w:p>
      <w:pPr>
        <w:pStyle w:val="Heading3"/>
      </w:pPr>
      <w:r>
        <w:rPr>
          <w:b/>
          <w:bCs/>
        </w:rPr>
        <w:t xml:space="preserve">Zeroheight</w:t>
      </w:r>
    </w:p>
    <w:p>
      <w:pPr>
        <w:spacing w:after="120"/>
      </w:pPr>
      <w:r>
        <w:t xml:space="preserve">Muy rápido. Curva de aprendizaje de 1-2 días. Cualquier perfil (marketing, diseño, producto) puede editar y publicar sin conocimiento técnico. Viewers no requieren ningún setup.</w:t>
      </w:r>
    </w:p>
    <w:p>
      <w:pPr>
        <w:pStyle w:val="Heading3"/>
      </w:pPr>
      <w:r>
        <w:rPr>
          <w:b/>
          <w:bCs/>
        </w:rPr>
        <w:t xml:space="preserve">Supernova</w:t>
      </w:r>
    </w:p>
    <w:p>
      <w:pPr>
        <w:spacing w:after="120"/>
      </w:pPr>
      <w:r>
        <w:t xml:space="preserve">El setup técnico inicial (conectar Figma, configurar pipelines, definir exporters) requiere 3-5 días de trabajo de Tecnología. Una vez configurado, los editores y viewers acceden sin fricción. La complejidad está concentrada en la fase de setup, no en el día a día.</w:t>
      </w:r>
    </w:p>
    <w:p/>
    <w:p>
      <w:pPr>
        <w:pStyle w:val="Heading2"/>
      </w:pPr>
      <w:r>
        <w:rPr>
          <w:b/>
          <w:bCs/>
        </w:rPr>
        <w:t xml:space="preserve">5.4 Interconexión con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Herramienta</w:t>
            </w:r>
          </w:p>
        </w:tc>
        <w:tc>
          <w:tcPr>
            <w:tcW w:type="dxa" w:w="3000"/>
            <w:tcBorders>
              <w:top w:val="single" w:color="E5E7EB" w:sz="1"/>
              <w:left w:val="single" w:color="E5E7EB" w:sz="1"/>
              <w:bottom w:val="single" w:color="E5E7EB" w:sz="1"/>
              <w:right w:val="single" w:color="E5E7EB" w:sz="1"/>
            </w:tcBorders>
            <w:shd w:fill="4C51FA" w:val="clear"/>
            <w:tcMar>
              <w:top w:type="dxa" w:w="80"/>
              <w:left w:type="dxa" w:w="120"/>
              <w:bottom w:type="dxa" w:w="80"/>
              <w:right w:type="dxa" w:w="120"/>
            </w:tcMar>
            <w:vAlign w:val="center"/>
          </w:tcPr>
          <w:p>
            <w:pPr>
              <w:jc w:val="center"/>
            </w:pPr>
            <w:r>
              <w:rPr>
                <w:b/>
                <w:bCs/>
                <w:color w:val="FFFFFF"/>
                <w:sz w:val="18"/>
                <w:szCs w:val="18"/>
              </w:rPr>
              <w:t xml:space="preserve">Zeroheight</w:t>
            </w:r>
          </w:p>
        </w:tc>
        <w:tc>
          <w:tcPr>
            <w:tcW w:type="dxa" w:w="4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vAlign w:val="center"/>
          </w:tcPr>
          <w:p>
            <w:pPr>
              <w:jc w:val="center"/>
            </w:pPr>
            <w:r>
              <w:rPr>
                <w:b/>
                <w:bCs/>
                <w:color w:val="FFFFFF"/>
                <w:sz w:val="18"/>
                <w:szCs w:val="18"/>
              </w:rPr>
              <w:t xml:space="preserve">Supernova</w:t>
            </w:r>
          </w:p>
        </w:tc>
      </w:tr>
      <w:tr>
        <w:tc>
          <w:tcPr>
            <w:tcW w:type="dxa" w:w="2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Figma</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Sync nativo de frames, estilos. Token Automation detecta cambios en variables/tokens.</w:t>
            </w:r>
          </w:p>
        </w:tc>
        <w:tc>
          <w:tcPr>
            <w:tcW w:type="dxa" w:w="4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Sync nativo de Variables, Extended Collections, Modes. Rendering de frames en prototipos.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Storybook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Embed de stories (display, no bidireccional)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Sync bidireccional + hosting (mayo 2025). Playground interactivo embebido.</w:t>
            </w:r>
          </w:p>
        </w:tc>
      </w:tr>
      <w:tr>
        <w:tc>
          <w:tcPr>
            <w:tcW w:type="dxa" w:w="2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GitHub</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Token Automation: auto-PR de tokens (Starter+). También sync de Markdown para docs.</w:t>
            </w:r>
          </w:p>
        </w:tc>
        <w:tc>
          <w:tcPr>
            <w:tcW w:type="dxa" w:w="4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Auto-PR de tokens con transformación a formatos. Historial vía commits.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GitLab</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Token Automation soportado (transformación de formatos requiere pipeline adicional en el repo)</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Soportado nativamente con transformación de formatos incluida</w:t>
            </w:r>
          </w:p>
        </w:tc>
      </w:tr>
      <w:tr>
        <w:tc>
          <w:tcPr>
            <w:tcW w:type="dxa" w:w="2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Bitbucket</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Token Automation soportado (transformación de formatos requiere pipeline adicional en el repo)</w:t>
            </w:r>
          </w:p>
        </w:tc>
        <w:tc>
          <w:tcPr>
            <w:tcW w:type="dxa" w:w="4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Soportado nativamente con transformación de formatos incluida</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Azure DevOps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No</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Soportado nativamente</w:t>
            </w:r>
          </w:p>
        </w:tc>
      </w:tr>
      <w:tr>
        <w:tc>
          <w:tcPr>
            <w:tcW w:type="dxa" w:w="2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Slack</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Notificaciones de cambios (Enterprise)</w:t>
            </w:r>
          </w:p>
        </w:tc>
        <w:tc>
          <w:tcPr>
            <w:tcW w:type="dxa" w:w="4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Webhooks configurables para notificar en cualquier canal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Notion / Jira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Embed de links de páginas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Embed de links. Sin integración nativa de datos.</w:t>
            </w:r>
          </w:p>
        </w:tc>
      </w:tr>
      <w:tr>
        <w:tc>
          <w:tcPr>
            <w:tcW w:type="dxa" w:w="2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Tokens Studio</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No</w:t>
            </w:r>
          </w:p>
        </w:tc>
        <w:tc>
          <w:tcPr>
            <w:tcW w:type="dxa" w:w="4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Integración nativa</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MCP</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Enterprise only — AI coding assistants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 Supernova Relay en Pro+ (100K calls/mes). Scoping por equipo.</w:t>
            </w:r>
          </w:p>
        </w:tc>
      </w:tr>
      <w:tr>
        <w:tc>
          <w:tcPr>
            <w:tcW w:type="dxa" w:w="20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AI Prototyping</w:t>
            </w:r>
          </w:p>
        </w:tc>
        <w:tc>
          <w:tcPr>
            <w:tcW w:type="dxa" w:w="3000"/>
            <w:tcBorders>
              <w:top w:val="single" w:color="E5E7EB" w:sz="1"/>
              <w:left w:val="single" w:color="E5E7EB" w:sz="1"/>
              <w:bottom w:val="single" w:color="E5E7EB" w:sz="1"/>
              <w:right w:val="single" w:color="E5E7EB" w:sz="1"/>
            </w:tcBorders>
            <w:shd w:fill="EEF0FF" w:val="clear"/>
            <w:tcMar>
              <w:top w:type="dxa" w:w="80"/>
              <w:left w:type="dxa" w:w="120"/>
              <w:bottom w:type="dxa" w:w="80"/>
              <w:right w:type="dxa" w:w="120"/>
            </w:tcMar>
          </w:tcPr>
          <w:p>
            <w:pPr>
              <w:jc w:val="left"/>
            </w:pPr>
            <w:r>
              <w:rPr>
                <w:color w:val="1A1A2E"/>
                <w:sz w:val="18"/>
                <w:szCs w:val="18"/>
              </w:rPr>
              <w:t xml:space="preserve">❌ No existe herramienta de prototipado</w:t>
            </w:r>
          </w:p>
        </w:tc>
        <w:tc>
          <w:tcPr>
            <w:tcW w:type="dxa" w:w="43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1A1A2E"/>
                <w:sz w:val="18"/>
                <w:szCs w:val="18"/>
              </w:rPr>
              <w:t xml:space="preserve">✅ Portal/Create: AI Prototyping con tus tokens y bibliotecas reales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API propia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API REST con capacidades de lectura + Management module para governance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REST API completa + Webhooks + SDK</w:t>
            </w:r>
          </w:p>
        </w:tc>
      </w:tr>
    </w:tbl>
    <w:p/>
    <w:p>
      <w:r>
        <w:br w:type="page"/>
      </w:r>
    </w:p>
    <w:p>
      <w:pPr>
        <w:pStyle w:val="Heading1"/>
      </w:pPr>
      <w:r>
        <w:rPr>
          <w:b/>
          <w:bCs/>
        </w:rPr>
        <w:t xml:space="preserve">6. Recomendación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thick" w:color="059669" w:sz="18"/>
              <w:bottom w:val="single" w:color="059669" w:sz="6"/>
              <w:right w:val="single" w:color="059669" w:sz="6"/>
            </w:tcBorders>
            <w:shd w:fill="ECFDF5" w:val="clear"/>
            <w:tcMar>
              <w:top w:type="dxa" w:w="100"/>
              <w:left w:type="dxa" w:w="180"/>
              <w:bottom w:type="dxa" w:w="100"/>
              <w:right w:type="dxa" w:w="180"/>
            </w:tcMar>
          </w:tcPr>
          <w:p>
            <w:pPr>
              <w:spacing w:after="60"/>
            </w:pPr>
            <w:r>
              <w:rPr>
                <w:b/>
                <w:bCs/>
                <w:color w:val="059669"/>
                <w:sz w:val="19"/>
                <w:szCs w:val="19"/>
              </w:rPr>
              <w:t xml:space="preserve">Decisión recomendada: Supernova como plataforma principal</w:t>
            </w:r>
          </w:p>
          <w:p>
            <w:pPr>
              <w:spacing w:after="0"/>
            </w:pPr>
            <w:r>
              <w:rPr>
                <w:sz w:val="18"/>
                <w:szCs w:val="18"/>
              </w:rPr>
              <w:t xml:space="preserve">Ambas plataformas tienen hoy automatización a GitHub. La decisión es sobre completitud del pipeline: Supernova transforma nativamente los tokens a CSS/Swift/Kotlin/Dart sin pipeline adicional, incluye AI Prototyping (Portal/Create) con tus bibliotecas y tokens reales, ofrece MCP Relay desde el plan Pro, y es más económico ($35/seat vs $49/editor). Supernova además unifica las tres capas de documentación — Brand Book (Diseño), componentes (Product Design) y Storybook/código vivo (Tecnología) — en un único lugar.</w:t>
            </w:r>
          </w:p>
        </w:tc>
      </w:tr>
    </w:tbl>
    <w:p/>
    <w:p>
      <w:pPr>
        <w:pStyle w:val="Heading2"/>
      </w:pPr>
      <w:r>
        <w:rPr>
          <w:b/>
          <w:bCs/>
        </w:rPr>
        <w:t xml:space="preserve">6.1 Justificación técnica</w:t>
      </w:r>
    </w:p>
    <w:p>
      <w:pPr>
        <w:spacing w:after="120"/>
      </w:pPr>
      <w:r>
        <w:t xml:space="preserve">Hoy el proceso de tokens es completamente manual: un designer exporta desde Figma, y alguien de Tecnología adapta esos valores a mano en cada proyecto (CSS, Android, iOS Swift). Zeroheight Starter ahora ofrece Token Automation (auto-PR en GitHub), pero la transformación a los formatos específicos del proyecto (CSS vars, Swift, Kotlin) requiere un pipeline adicional en el repositorio. Supernova lo resuelve de raíz: lee las Figma Variables, transforma los tokens nativamente al formato requerido, y abre el Pull Request automático — sin pipeline adicional. Supernova además incluye AI Prototyping (Portal/Create): el equipo de Producto puede prototipar features usando las bibliotecas y tokens reales del Design System, importar desde Figma, generar PRDs y exportar el contexto vía MCP a coding agents. Los tokens existentes del proyecto Later v2.0 son importables — no se pierde el trabajo previo.</w:t>
      </w:r>
    </w:p>
    <w:p/>
    <w:p>
      <w:pPr>
        <w:pStyle w:val="Heading2"/>
      </w:pPr>
      <w:r>
        <w:rPr>
          <w:b/>
          <w:bCs/>
        </w:rPr>
        <w:t xml:space="preserve">6.2 Justificación de negocio</w:t>
      </w:r>
    </w:p>
    <w:p>
      <w:pPr>
        <w:spacing w:after="120"/>
      </w:pPr>
      <w:r>
        <w:t xml:space="preserve">El ahorro de costo directo es de ~$840/año (Pro Full) o ~$1,740/año (Pro Builder) frente al plan Starter de Zeroheight con 5 seats. Sumado al costo operativo evitado — el mantenimiento del pipeline de transformación de tokens en el repositorio (2-4h/mes de Tecnología con ZH, eliminado completamente con SN) — el ROI de Supernova es positivo desde el primer trimestre de uso.</w:t>
      </w:r>
    </w:p>
    <w:p/>
    <w:p>
      <w:pPr>
        <w:pStyle w:val="Heading2"/>
      </w:pPr>
      <w:r>
        <w:rPr>
          <w:b/>
          <w:bCs/>
        </w:rPr>
        <w:t xml:space="preserve">6.3 Plan de transición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w:t>
            </w:r>
          </w:p>
        </w:tc>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Actividad</w:t>
            </w:r>
          </w:p>
        </w:tc>
        <w:tc>
          <w:tcPr>
            <w:tcW w:type="dxa" w:w="55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vAlign w:val="center"/>
          </w:tcPr>
          <w:p>
            <w:pPr>
              <w:jc w:val="center"/>
            </w:pPr>
            <w:r>
              <w:rPr>
                <w:b/>
                <w:bCs/>
                <w:color w:val="FFFFFF"/>
                <w:sz w:val="18"/>
                <w:szCs w:val="18"/>
              </w:rPr>
              <w:t xml:space="preserve">Detalle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1</w:t>
            </w:r>
          </w:p>
        </w:tc>
        <w:tc>
          <w:tcPr>
            <w:tcW w:type="dxa" w:w="30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059669"/>
                <w:sz w:val="18"/>
                <w:szCs w:val="18"/>
              </w:rPr>
              <w:t xml:space="preserve">Aprobación del benchmark</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Leads de cada área revisan este documento y dan el go/no-go.</w:t>
            </w:r>
          </w:p>
        </w:tc>
      </w:tr>
      <w:tr>
        <w:tc>
          <w:tcPr>
            <w:tcW w:type="dxa" w:w="8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1A1A2E"/>
                <w:sz w:val="18"/>
                <w:szCs w:val="18"/>
              </w:rPr>
              <w:t xml:space="preserve">2</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059669"/>
                <w:sz w:val="18"/>
                <w:szCs w:val="18"/>
              </w:rPr>
              <w:t xml:space="preserve">Demo técnica de Supernova</w:t>
            </w:r>
          </w:p>
        </w:tc>
        <w:tc>
          <w:tcPr>
            <w:tcW w:type="dxa" w:w="55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Reunión con el equipo de Tecnología y Diseño de Producto para evaluar el setup y resolver dudas técnicas.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3</w:t>
            </w:r>
          </w:p>
        </w:tc>
        <w:tc>
          <w:tcPr>
            <w:tcW w:type="dxa" w:w="30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059669"/>
                <w:sz w:val="18"/>
                <w:szCs w:val="18"/>
              </w:rPr>
              <w:t xml:space="preserve">Trial técnico (30 días)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Conectar Later v2.0 a Supernova. Configurar pipeline Figma → GitHub PR. Tecnología valida los exporters.</w:t>
            </w:r>
          </w:p>
        </w:tc>
      </w:tr>
      <w:tr>
        <w:tc>
          <w:tcPr>
            <w:tcW w:type="dxa" w:w="80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center"/>
            </w:pPr>
            <w:r>
              <w:rPr>
                <w:color w:val="1A1A2E"/>
                <w:sz w:val="18"/>
                <w:szCs w:val="18"/>
              </w:rPr>
              <w:t xml:space="preserve">4</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059669"/>
                <w:sz w:val="18"/>
                <w:szCs w:val="18"/>
              </w:rPr>
              <w:t xml:space="preserve">Validación por equipos</w:t>
            </w:r>
          </w:p>
        </w:tc>
        <w:tc>
          <w:tcPr>
            <w:tcW w:type="dxa" w:w="5560"/>
            <w:tcBorders>
              <w:top w:val="single" w:color="E5E7EB" w:sz="1"/>
              <w:left w:val="single" w:color="E5E7EB" w:sz="1"/>
              <w:bottom w:val="single" w:color="E5E7EB" w:sz="1"/>
              <w:right w:val="single" w:color="E5E7EB" w:sz="1"/>
            </w:tcBorders>
            <w:shd w:fill="F7F8FA" w:val="clear"/>
            <w:tcMar>
              <w:top w:type="dxa" w:w="80"/>
              <w:left w:type="dxa" w:w="120"/>
              <w:bottom w:type="dxa" w:w="80"/>
              <w:right w:type="dxa" w:w="120"/>
            </w:tcMar>
          </w:tcPr>
          <w:p>
            <w:pPr>
              <w:jc w:val="left"/>
            </w:pPr>
            <w:r>
              <w:rPr>
                <w:color w:val="1A1A2E"/>
                <w:sz w:val="18"/>
                <w:szCs w:val="18"/>
              </w:rPr>
              <w:t xml:space="preserve">Diseño, Producto y Marketing validan la experiencia de documentación y consumo durante el trial.</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color w:val="1A1A2E"/>
                <w:sz w:val="18"/>
                <w:szCs w:val="18"/>
              </w:rPr>
              <w:t xml:space="preserve">5</w:t>
            </w:r>
          </w:p>
        </w:tc>
        <w:tc>
          <w:tcPr>
            <w:tcW w:type="dxa" w:w="30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left"/>
            </w:pPr>
            <w:r>
              <w:rPr>
                <w:color w:val="059669"/>
                <w:sz w:val="18"/>
                <w:szCs w:val="18"/>
              </w:rPr>
              <w:t xml:space="preserve">Decisión final</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color w:val="1A1A2E"/>
                <w:sz w:val="18"/>
                <w:szCs w:val="18"/>
              </w:rPr>
              <w:t xml:space="preserve">Go/No-Go documentado. Si Go: plan de migración de docs desde Zeroheight y definición de timelines de implementación.</w:t>
            </w:r>
          </w:p>
        </w:tc>
      </w:tr>
    </w:tbl>
    <w:p/>
    <w:p>
      <w:pPr>
        <w:pStyle w:val="Heading2"/>
      </w:pPr>
      <w:r>
        <w:rPr>
          <w:b/>
          <w:bCs/>
        </w:rPr>
        <w:t xml:space="preserve">6.4 Nota de coexistencia</w:t>
      </w:r>
    </w:p>
    <w:p>
      <w:pPr>
        <w:spacing w:after="120"/>
      </w:pPr>
      <w:r>
        <w:t xml:space="preserve">Zeroheight puede seguir activo durante la transición para no interrumpir a Marketing. El camino sugerido es:</w:t>
      </w:r>
    </w:p>
    <w:p>
      <w:pPr>
        <w:pStyle w:val="ListParagraph"/>
        <w:numPr>
          <w:ilvl w:val="0"/>
          <w:numId w:val="2"/>
        </w:numPr>
        <w:spacing w:after="60"/>
      </w:pPr>
      <w:r>
        <w:t xml:space="preserve">Fase A: Supernova corre en paralelo con Later tokens. Solo Tecnología y Diseño de Producto lo usan.</w:t>
      </w:r>
    </w:p>
    <w:p>
      <w:pPr>
        <w:pStyle w:val="ListParagraph"/>
        <w:numPr>
          <w:ilvl w:val="0"/>
          <w:numId w:val="2"/>
        </w:numPr>
        <w:spacing w:after="60"/>
      </w:pPr>
      <w:r>
        <w:t xml:space="preserve">Fase B: Docs técnicas (componentes, tokens, handoff) se migran a Supernova.</w:t>
      </w:r>
    </w:p>
    <w:p>
      <w:pPr>
        <w:pStyle w:val="ListParagraph"/>
        <w:numPr>
          <w:ilvl w:val="0"/>
          <w:numId w:val="2"/>
        </w:numPr>
        <w:spacing w:after="60"/>
      </w:pPr>
      <w:r>
        <w:t xml:space="preserve">Fase C (opcional): Decidir si mantener Zeroheight para el Brand Book de Marketing (su UX de edición es superior) o migrar también esa documentación.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2A" w:sz="6"/>
              <w:left w:val="thick" w:color="D4892A" w:sz="18"/>
              <w:bottom w:val="single" w:color="D4892A" w:sz="6"/>
              <w:right w:val="single" w:color="D4892A" w:sz="6"/>
            </w:tcBorders>
            <w:shd w:fill="FFF3DC" w:val="clear"/>
            <w:tcMar>
              <w:top w:type="dxa" w:w="100"/>
              <w:left w:type="dxa" w:w="180"/>
              <w:bottom w:type="dxa" w:w="100"/>
              <w:right w:type="dxa" w:w="180"/>
            </w:tcMar>
          </w:tcPr>
          <w:p>
            <w:pPr>
              <w:spacing w:after="60"/>
            </w:pPr>
            <w:r>
              <w:rPr>
                <w:b/>
                <w:bCs/>
                <w:color w:val="D4892A"/>
                <w:sz w:val="19"/>
                <w:szCs w:val="19"/>
              </w:rPr>
              <w:t xml:space="preserve">Cuándo NO migrar a Supernova</w:t>
            </w:r>
          </w:p>
          <w:p>
            <w:pPr>
              <w:spacing w:after="0"/>
            </w:pPr>
            <w:r>
              <w:rPr>
                <w:sz w:val="18"/>
                <w:szCs w:val="18"/>
              </w:rPr>
              <w:t xml:space="preserve">Si el equipo de Tecnología no puede dedicar 3-5 días para el setup inicial, o si la prioridad es documentar el brand book rápidamente sin automatización, mantener Zeroheight en el corto plazo es una decisión válida. Supernova sin setup correcto es peor que Zeroheight bien configurado.</w:t>
            </w:r>
          </w:p>
        </w:tc>
      </w:tr>
    </w:tbl>
    <w:p/>
    <w:p>
      <w:r>
        <w:br w:type="page"/>
      </w:r>
    </w:p>
    <w:p>
      <w:pPr>
        <w:pStyle w:val="Heading1"/>
      </w:pPr>
      <w:r>
        <w:rPr>
          <w:b/>
          <w:bCs/>
        </w:rPr>
        <w:t xml:space="preserve">7. Fuentes</w:t>
      </w:r>
    </w:p>
    <w:p>
      <w:pPr>
        <w:spacing w:after="120"/>
      </w:pPr>
      <w:r>
        <w:t xml:space="preserve">Información recopilada en junio 2026 de las siguientes fuentes públicas:</w:t>
      </w:r>
    </w:p>
    <w:p/>
    <w:p>
      <w:pPr>
        <w:pStyle w:val="ListParagraph"/>
        <w:numPr>
          <w:ilvl w:val="0"/>
          <w:numId w:val="2"/>
        </w:numPr>
        <w:spacing w:after="60"/>
      </w:pPr>
      <w:r>
        <w:t xml:space="preserve">Zeroheight — Pricing — https://zeroheight.com/pricing/</w:t>
      </w:r>
    </w:p>
    <w:p>
      <w:pPr>
        <w:pStyle w:val="ListParagraph"/>
        <w:numPr>
          <w:ilvl w:val="0"/>
          <w:numId w:val="2"/>
        </w:numPr>
        <w:spacing w:after="60"/>
      </w:pPr>
      <w:r>
        <w:t xml:space="preserve">Zeroheight — Delivery / Token Automation — https://zeroheight.com/delivery/</w:t>
      </w:r>
    </w:p>
    <w:p>
      <w:pPr>
        <w:pStyle w:val="ListParagraph"/>
        <w:numPr>
          <w:ilvl w:val="0"/>
          <w:numId w:val="2"/>
        </w:numPr>
        <w:spacing w:after="60"/>
      </w:pPr>
      <w:r>
        <w:t xml:space="preserve">Zeroheight — Measurement module — https://zeroheight.com/measurement/</w:t>
      </w:r>
    </w:p>
    <w:p>
      <w:pPr>
        <w:pStyle w:val="ListParagraph"/>
        <w:numPr>
          <w:ilvl w:val="0"/>
          <w:numId w:val="2"/>
        </w:numPr>
        <w:spacing w:after="60"/>
      </w:pPr>
      <w:r>
        <w:t xml:space="preserve">Zeroheight — What's New 2026 — https://zeroheight.com/whats-new/</w:t>
      </w:r>
    </w:p>
    <w:p>
      <w:pPr>
        <w:pStyle w:val="ListParagraph"/>
        <w:numPr>
          <w:ilvl w:val="0"/>
          <w:numId w:val="2"/>
        </w:numPr>
        <w:spacing w:after="60"/>
      </w:pPr>
      <w:r>
        <w:t xml:space="preserve">Supernova — Pricing — https://supernova.io/pricing</w:t>
      </w:r>
    </w:p>
    <w:p>
      <w:pPr>
        <w:pStyle w:val="ListParagraph"/>
        <w:numPr>
          <w:ilvl w:val="0"/>
          <w:numId w:val="2"/>
        </w:numPr>
        <w:spacing w:after="60"/>
      </w:pPr>
      <w:r>
        <w:t xml:space="preserve">Supernova — Home (AI-powered repositioning) — https://supernova.io/</w:t>
      </w:r>
    </w:p>
    <w:p>
      <w:pPr>
        <w:pStyle w:val="ListParagraph"/>
        <w:numPr>
          <w:ilvl w:val="0"/>
          <w:numId w:val="2"/>
        </w:numPr>
        <w:spacing w:after="60"/>
      </w:pPr>
      <w:r>
        <w:t xml:space="preserve">Supernova — Collaborative AI Prototyping (Portal/Create) — https://supernova.io/collaborative-ai-prototyping</w:t>
      </w:r>
    </w:p>
    <w:p>
      <w:pPr>
        <w:pStyle w:val="ListParagraph"/>
        <w:numPr>
          <w:ilvl w:val="0"/>
          <w:numId w:val="2"/>
        </w:numPr>
        <w:spacing w:after="60"/>
      </w:pPr>
      <w:r>
        <w:t xml:space="preserve">Supernova Learn — Welcome &amp; Platform Overview — https://learn.supernova.io/latest/welcome/welcome-to-supernova-Jocg9JuY</w:t>
      </w:r>
    </w:p>
    <w:p>
      <w:pPr>
        <w:pStyle w:val="ListParagraph"/>
        <w:numPr>
          <w:ilvl w:val="0"/>
          <w:numId w:val="2"/>
        </w:numPr>
        <w:spacing w:after="60"/>
      </w:pPr>
      <w:r>
        <w:t xml:space="preserve">Supernova Learn — Automation &amp; Code Pipelines — https://learn.supernova.io/latest/automation/automation-101-n7UChYuk</w:t>
      </w:r>
    </w:p>
    <w:p>
      <w:pPr>
        <w:pStyle w:val="ListParagraph"/>
        <w:numPr>
          <w:ilvl w:val="0"/>
          <w:numId w:val="2"/>
        </w:numPr>
        <w:spacing w:after="60"/>
      </w:pPr>
      <w:r>
        <w:t xml:space="preserve">Supernova Learn — Prototyping (Portal/Create) — https://learn.supernova.io/latest/prototyping/prototyping-101-PpbPaMRk</w:t>
      </w:r>
    </w:p>
    <w:p>
      <w:pPr>
        <w:pStyle w:val="ListParagraph"/>
        <w:numPr>
          <w:ilvl w:val="0"/>
          <w:numId w:val="2"/>
        </w:numPr>
        <w:spacing w:after="60"/>
      </w:pPr>
      <w:r>
        <w:t xml:space="preserve">Supernova Learn — Latest Releases (2024–2026) — https://learn.supernova.io/latest/releases/latest-releases-EhxYhfBn</w:t>
      </w:r>
    </w:p>
    <w:p>
      <w:pPr>
        <w:pStyle w:val="ListParagraph"/>
        <w:numPr>
          <w:ilvl w:val="0"/>
          <w:numId w:val="2"/>
        </w:numPr>
        <w:spacing w:after="60"/>
      </w:pPr>
      <w:r>
        <w:t xml:space="preserve">Información verificada en junio 2026 directamente desde las páginas oficiales de cada plataforma.</w:t>
      </w:r>
    </w:p>
    <w:p/>
    <w:p>
      <w:pPr>
        <w:pBdr>
          <w:bottom w:val="single" w:color="E5E7EB" w:sz="4" w:space="1"/>
        </w:pBdr>
        <w:spacing w:after="120" w:before="120"/>
      </w:pPr>
    </w:p>
    <w:p/>
    <w:p>
      <w:pPr>
        <w:spacing w:after="120"/>
      </w:pPr>
      <w:r>
        <w:rPr>
          <w:b/>
          <w:bCs/>
          <w:color w:val="6B7280"/>
        </w:rPr>
        <w:t xml:space="preserve">Elaborado por: </w:t>
      </w:r>
      <w:r>
        <w:t xml:space="preserve">Alex Facio · 100 Ladrillos · Later Brand System  ·  Junio 2026</w:t>
      </w:r>
    </w:p>
    <w:p>
      <w:pPr>
        <w:spacing w:after="120"/>
      </w:pPr>
      <w:r>
        <w:rPr>
          <w:b/>
          <w:bCs/>
          <w:color w:val="6B7280"/>
        </w:rPr>
        <w:t xml:space="preserve">Clasificación: </w:t>
      </w:r>
      <w:r>
        <w:t xml:space="preserve">Confidencial — Uso interno</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00"/>
    </w:pPr>
    <w:r>
      <w:rPr>
        <w:color w:val="6B7280"/>
        <w:sz w:val="16"/>
        <w:szCs w:val="16"/>
      </w:rPr>
      <w:t xml:space="preserve">Confidencial · Uso interno  </w:t>
    </w: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100"/>
    </w:pPr>
    <w:r>
      <w:rPr>
        <w:b/>
        <w:bCs/>
        <w:color w:val="1B2A4A"/>
        <w:sz w:val="16"/>
        <w:szCs w:val="16"/>
      </w:rPr>
      <w:t xml:space="preserve">100 Ladrillos · Later Brand System  </w:t>
    </w:r>
    <w:r>
      <w:rPr>
        <w:color w:val="6B7280"/>
        <w:sz w:val="16"/>
        <w:szCs w:val="16"/>
      </w:rPr>
      <w:t xml:space="preserve">Benchmark: Zeroheight vs Supernova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4" w:space="1"/>
      </w:pBdr>
      <w:spacing w:after="18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2026-06-19T21:10:34.429Z</dcterms:created>
  <dcterms:modified xsi:type="dcterms:W3CDTF">2026-06-19T21:10:34.437Z</dcterms:modified>
</cp:coreProperties>
</file>

<file path=docProps/custom.xml><?xml version="1.0" encoding="utf-8"?>
<Properties xmlns="http://schemas.openxmlformats.org/officeDocument/2006/custom-properties" xmlns:vt="http://schemas.openxmlformats.org/officeDocument/2006/docPropsVTypes"/>
</file>