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left"/>
      </w:pPr>
      <w:r>
        <w:rPr>
          <w:b/>
          <w:bCs/>
          <w:color w:val="1B2A4A"/>
          <w:sz w:val="52"/>
          <w:szCs w:val="52"/>
        </w:rPr>
        <w:t xml:space="preserve">BENCHMARK DE PLATAFORMAS DE DESIGN SYSTEM</w:t>
      </w:r>
    </w:p>
    <w:p>
      <w:pPr>
        <w:spacing w:after="360"/>
        <w:jc w:val="left"/>
      </w:pPr>
      <w:r>
        <w:rPr>
          <w:b/>
          <w:bCs/>
          <w:color w:val="4C51FA"/>
          <w:sz w:val="38"/>
          <w:szCs w:val="38"/>
        </w:rPr>
        <w:t xml:space="preserve">Zeroheight vs. Supernova</w:t>
      </w:r>
    </w:p>
    <w:p>
      <w:pPr>
        <w:pBdr>
          <w:bottom w:val="single" w:color="D4892A" w:sz="4" w:space="1"/>
        </w:pBdr>
        <w:spacing w:after="120" w:before="120"/>
      </w:pPr>
    </w:p>
    <w:p>
      <w:pPr>
        <w:spacing w:after="120"/>
      </w:pPr>
      <w:r>
        <w:rPr>
          <w:b/>
          <w:bCs/>
          <w:color w:val="6B7280"/>
        </w:rPr>
        <w:t xml:space="preserve">Proyecto: </w:t>
      </w:r>
      <w:r>
        <w:t xml:space="preserve">Later Brand System v2.0  ·  </w:t>
      </w:r>
      <w:r>
        <w:rPr>
          <w:b/>
          <w:bCs/>
          <w:color w:val="6B7280"/>
        </w:rPr>
        <w:t xml:space="preserve">Empresa: </w:t>
      </w:r>
      <w:r>
        <w:t xml:space="preserve">100 Ladrillos  ·  </w:t>
      </w:r>
      <w:r>
        <w:rPr>
          <w:b/>
          <w:bCs/>
          <w:color w:val="6B7280"/>
        </w:rPr>
        <w:t xml:space="preserve">Fecha: </w:t>
      </w:r>
      <w:r>
        <w:t xml:space="preserve">Junio 2026  ·  </w:t>
      </w:r>
      <w:r>
        <w:rPr>
          <w:b/>
          <w:bCs/>
          <w:color w:val="6B7280"/>
        </w:rPr>
        <w:t xml:space="preserve">Fase: </w:t>
      </w:r>
      <w:r>
        <w:t xml:space="preserve">Decisión estratégica — Bloqueante Fase 2 de Renovare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92A" w:sz="6"/>
              <w:left w:val="thick" w:color="D4892A" w:sz="18"/>
              <w:bottom w:val="single" w:color="D4892A" w:sz="6"/>
              <w:right w:val="single" w:color="D4892A" w:sz="6"/>
            </w:tcBorders>
            <w:shd w:fill="FF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D4892A"/>
                <w:sz w:val="19"/>
                <w:szCs w:val="19"/>
              </w:rPr>
              <w:t xml:space="preserve">Por qué este documento importa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La selección de la plataforma para Later: Brand System es un bloqueante activo para iniciar la Fase 2 de Renovare. Este benchmark provee el análisis técnico, económico y por-equipo necesario para que los leads de Marketing, Diseño, Producto, Diseño de Producto y Tecnología tomen una decisión informada y coordinada.</w:t>
            </w:r>
          </w:p>
        </w:tc>
      </w:tr>
    </w:tbl>
    <w:p/>
    <w:p>
      <w:r>
        <w:br w:type="page"/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Resumen Ejecutivo</w:t>
      </w:r>
    </w:p>
    <w:p>
      <w:pPr>
        <w:spacing w:after="120"/>
      </w:pPr>
      <w:r>
        <w:t xml:space="preserve">Este documento compara Zeroheight y Supernova como plataformas de soporte para Later: Brand System. El contexto es crítico: hoy no existe un pipeline automatizado de tokens. El proceso actual es exportar manualmente desde Figma y adaptar los tokens a mano en cada proyecto de desarrollo. La Fase 2 de Renovare es el momento de levantar esa infraestructura correctamente, y la plataforma elegida define si ese pipeline se automatiza o sigue siendo trabajo manual indefinidamente. El análisis además responde las preguntas específicas de los tres equipos que documentarán en la plataforma: Diseño (Brand Book), Product Design (componentes y patrones) y Tecnología (Storybook / código vivo).</w:t>
      </w:r>
    </w:p>
    <w:p/>
    <w:p>
      <w:pPr>
        <w:pStyle w:val="Heading2"/>
      </w:pPr>
      <w:r>
        <w:rPr>
          <w:b/>
          <w:bCs/>
        </w:rPr>
        <w:t xml:space="preserve">1.1 Contexto del Proyecto: modelo operativo de Later</w:t>
      </w:r>
    </w:p>
    <w:p>
      <w:pPr>
        <w:spacing w:after="120"/>
      </w:pPr>
      <w:r>
        <w:t xml:space="preserve">Hoy no existe un lugar centralizado donde vivan los foundations de la marca. Los assets visuales, las guías tipográficas, los tokens de color y los lineamientos de voz gráfica no tienen una fuente de verdad. Cada equipo los consume de donde puede: archivos de Figma no organizados, carpetas de Drive, conversaciones de Slack. Eso es exactamente lo que Later: Brand System busca resolver — y la plataforma elegida es el hub que lo hace posible.</w:t>
      </w:r>
    </w:p>
    <w:p/>
    <w:p>
      <w:pPr>
        <w:pStyle w:val="Heading3"/>
      </w:pPr>
      <w:r>
        <w:rPr>
          <w:b/>
          <w:bCs/>
        </w:rPr>
        <w:t xml:space="preserve">El modelo de tres equipos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A4A"/>
        </w:rPr>
        <w:t xml:space="preserve">Diseño ↔ Marketing: </w:t>
      </w:r>
      <w:r>
        <w:t xml:space="preserve">El equipo de Diseño produce los assets visuales de marca para Marketing: ilustraciones, imágenes de campaña, piezas gráficas. En la plataforma publicarán el Brand Book — foundations tipográficas, de color, iconografía y voz visual — que sirve como referencia para toda la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A4A"/>
        </w:rPr>
        <w:t xml:space="preserve">Diseño de Producto ↔ Diseño: </w:t>
      </w:r>
      <w:r>
        <w:t xml:space="preserve">Product Design consume los foundations publicados por Diseño y, a su vez, documenta los componentes de UI y patrones de interacción. La comunicación es bidireccional: Diseño sabe cómo van los componentes; Product Design sabe qué elementos visuales pueden usar para banners, estados de interfaz o assets de comunicación.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A4A"/>
        </w:rPr>
        <w:t xml:space="preserve">Tecnología → Supernova (Storybook como fuente de verdad técnica): </w:t>
      </w:r>
      <w:r>
        <w:t xml:space="preserve">Storybook no es una alternativa a la plataforma — es la herramienta de Tecnología para construir y validar componentes con código real. Lo que se construye en Storybook se sincroniza hacia Supernova, que lo embebe y documenta. El flujo es: Figma Variables → token pipeline → PR en GitHub, y en paralelo Storybook → Supernova como playground interactivo con código vivo.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92A" w:sz="6"/>
              <w:left w:val="thick" w:color="D4892A" w:sz="18"/>
              <w:bottom w:val="single" w:color="D4892A" w:sz="6"/>
              <w:right w:val="single" w:color="D4892A" w:sz="6"/>
            </w:tcBorders>
            <w:shd w:fill="FF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D4892A"/>
                <w:sz w:val="19"/>
                <w:szCs w:val="19"/>
              </w:rPr>
              <w:t xml:space="preserve">Infraestructura Y documentación — no es un versus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La pregunta correcta no es '¿queremos infraestructura o documentación?'. La plataforma elegida debe hacer ambas simultáneamente: automatizar el pipeline de tokens hacia código (infraestructura) y centralizar el Brand Book, los componentes y los patrones como fuente de verdad consultable (documentación). Supernova y Zeroheight compiten en cuánto de cada uno incluyen y qué tan bien integran los dos lados.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Una aclaración importante: Supernova no es un DAM</w:t>
      </w:r>
    </w:p>
    <w:p>
      <w:pPr>
        <w:spacing w:after="120"/>
      </w:pPr>
      <w:r>
        <w:t xml:space="preserve">Supernova (y Zeroheight) son plataformas de design system — documentan las reglas de uso de la marca, los tokens, los componentes y los patrones. No almacenan ni distribuyen archivos físicos de assets (ilustraciones exportadas, imágenes de campaña, fotografías, videos). Esa función corresponde a un DAM (Digital Asset Management): una biblioteca centralizada con metadatos, permisos y versionado para los archivos finales de marca. Hoy 100 Ladrillos gestiona esos assets a través de Figma y Google Drive organizado — Later: Brand System no reemplaza esa capa, pero sí publica los lineamientos y especificaciones que gobiernan cómo se usan esos assets.</w:t>
      </w:r>
    </w:p>
    <w:p/>
    <w:p>
      <w:pPr>
        <w:pStyle w:val="Heading2"/>
      </w:pPr>
      <w:r>
        <w:rPr>
          <w:b/>
          <w:bCs/>
        </w:rPr>
        <w:t xml:space="preserve">1.2 Hallazgos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Hoy no existe pipeline automatizado de tokens. El proceso actual — exportar de Figma manualmente y adaptar en cada proyecto a mano — es lo que esta decisión busca resolver definitivamente desde Fase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plataforma debe soportar tres capas de documentación con dueños distintos: Diseño lleva el Brand Book, Product Design documenta componentes y patrones, y Tecnología documenta desde Storybook (código vivo). Las tres conviven en la misma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Zeroheight evolucionó: ahora tiene Token Automation (auto-PR en GitHub desde plan Starter) y un Measurement module completo para rastrear adopción de componentes en código. Ya no es solo documentación.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Supernova va más lejos: transforma los tokens a todos los formatos (CSS, Swift, Kotlin, Dart) sin pipeline adicional, tiene AI Prototyping nativo (Portal/Create) y MCP Relay para alimentar AI coding agents desde el plan Pro.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diferencia clave ya no es 'pipeline sí vs. pipeline no' — ambos tienen automatización. Es sobre completitud: SN incluye la transformación de formatos, el AI Prototyping y el MCP en Pro; ZH requiere pipeline adicional para formatos y MCP solo en Enterprise.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costo de Supernova Pro Full ($35/seat) es menor que Zeroheight Starter ($49/editor) para el mismo número de editores.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thick" w:color="059669" w:sz="18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19"/>
                <w:szCs w:val="19"/>
              </w:rPr>
              <w:t xml:space="preserve">RECOMENDACIÓN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Supernova como plataforma principal para la Fase 2 de Renovare. Ambas plataformas ahora tienen automatización a GitHub — la diferencia es de completitud: Supernova incluye la transformación nativa a CSS/Swift/Kotlin, AI Prototyping con tus tokens reales (Portal/Create) y MCP Relay en Pro para alimentar AI coding agents. Zeroheight requiere un pipeline adicional para la transformación de formatos y MCP solo en Enterprise. Supernova también es más barato ($35/seat vs $49/editor) y unifica las tres capas de documentación (Brand Book, componentes, Storybook) en un solo lugar.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1.3 Scorecard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360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Zeroheight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Supernova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Ganador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Facilidad de uso / Onboarding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5/5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3/5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Zeroheight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Integración Figma + Variables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DE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4/5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6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5/5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Gestión de design tokens (pipeline)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3/5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5/5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Automatización CI/CD → GitHub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DE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3/5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6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5/5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Calidad de documentación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5/5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4/5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Zeroheight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Soporte multi-brand nativo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DE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3/5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6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5/5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Integración Storybook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4/5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5/5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Costo base (a igual nro. editores)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DE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3/5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6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4/5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Escalabilidad a largo plazo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4/5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5/5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API / MCP / extensibilidad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DE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3/5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6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5/5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37/50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46/50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Supernova +9 pts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2. Perfiles de Plataforma</w:t>
      </w:r>
    </w:p>
    <w:p>
      <w:pPr>
        <w:pStyle w:val="Heading2"/>
      </w:pPr>
      <w:r>
        <w:rPr>
          <w:b/>
          <w:bCs/>
        </w:rPr>
        <w:t xml:space="preserve">2.1 Zeroheight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Fundación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2017 · Londres, UK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Posicionamiento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Plataforma de documentación y entrega de Design Systems — 4 módulos: Documentation, Delivery, Measurement, Management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Enfoque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Documentation-first con token delivery: excelente UX de edición, Token Automation a GitHub y Measurement de adopción en código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Modelo de negocio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SaaS 100% cloud, sin opción self-hosted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Plan Free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1 editor, viewers ilimitados, 1 styleguide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Plan Starter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$49/editor/mes (anual) · Token Automation, Measurement module, branding personalizado, soporte prioritario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Plan Enterprise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Precio personalizado · SSO/SAML, IP whitelist, MCP integration, permisos granulares, SLA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Figma sync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Nativa: sincroniza frames, componentes, estilos de color y tipografía. Token Automation detecta cambios y abre PRs en GitHub automáticamente.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Design tokens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Token Automation (todos los planes Starter+): abre PRs en GitHub/GitLab/Bitbucket cuando detecta cambios de tokens. La transformación a CSS/Swift/Kotlin se configura en el pipeline del repositorio.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Módulo completo: package adoption en código de producción, component usage, token/color usage. Analytics de docs, search analytics, feedback inline. Integración con Google Analytics y Hotjar.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Storybook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Embed de stories individuales dentro de las páginas de documentación. Solo display, no bidireccional.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Token Automation: abre PRs automáticos de tokens. También sync de contenido Markdown para docs.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Multi-brand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Via Workspaces (add-on). Cada marca tiene su propio workspace con sincronización independiente. Costo adicional.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IA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AI Assistant para edición (todos los planes): redacción, mejora de documentación, sugerencias. AI para viewers en Enterprise. Sin AI Prototyping.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MCP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Enterprise only — Model Context Protocol para alimentar contexto del Design System a AI coding assistants (Claude Code, Cursor, Copilot).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API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API + Management module: governance, workflows de aprobación y SSO. API REST con capacidades de lectura. Sin webhooks robustos.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2.2 Supernova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Fundación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2019 · San Francisco, CA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Posicionamiento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AI-powered platform for product teams: Design System Platform + Portal (AI Prototyping). Reposicionado en 2025.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Enfoque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Pipeline completo: Figma Variables → design tokens → múltiples formatos de código → GitHub PR automático. + AI Prototyping con tokens reales.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Modelo de negocio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SaaS 100% cloud, sin opción self-hosted. Dos productos: Design System Platform y Portal.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Plan Free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5 usuarios, limits en AI credits y automations. Portal (Ask AI, prototipos básicos) incluido.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Plan Pro Builder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$20/builder seat/mes (anual) · Hasta 25 seats, AI credits mensuales, MCP Relay 100K calls/mes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Plan Pro Full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$35/full seat/mes (anual) · Acceso completo + automations + AI Prototyping + MCP Relay sin límite adicional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Plan Enterprise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Precio personalizado · SSO, gov., soporte dedicado, SLA, escala ilimitada, MCP scoping avanzado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Figma sync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Nativa y avanzada: Figma Variables, Extended Collections (mar 2026), Modes, Brands. Detección automática de cambios. Rendering de Figma frames en prototipos (mar 2026).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Design tokens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Pipeline de entrega completo: convierte tokens a CSS vars, SCSS, JSON, Swift, Kotlin, Dart, Tailwind CSS v4. Abre PRs en Git automáticamente. Write-on-export (IA genera código al exportar).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Portal / Create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AI Prototyping (Portal Create, nov 2025): prototipa features usando tus bibliotecas de código y tokens reales. Importa desde Figma, genera PRD, exporta vía MCP a coding agents.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Adoption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Design System Adoption Dashboard (mayo 2026): rastrea qué componentes usan los equipos en producción y cómo evoluciona en el tiempo.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Storybook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Integración bidireccional (mayo 2025): conecta Storybook como data source, embed con playground interactivo. La doc se sincroniza con los componentes vivos.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GitHub/GitLab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Primera clase: auto-PR cuando un token cambia en Figma. Soporta GitHub, GitLab, Bitbucket y Azure DevOps.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Multi-brand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Nativo: Brands con value overrides + Figma Extended Collections (mar 2026) para jerarquías multi-brand sin duplicar archivos Figma.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IA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Supernova Copilot: genera docs de componentes. Ask AI: busca en el DS con lenguaje natural. Portal Create: AI Prototyping. Design System doc en prototyping (feb 2026): el coding agent lee tus docs.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MCP / Relay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Supernova Relay: servidor MCP oficial (sept 2025). En Pro+: 100K calls/mes. Alimenta contexto del DS directamente a Claude Code, Cursor, Copilot, Codex. Scoping por equipo en Enterprise.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B2A4A"/>
                <w:sz w:val="18"/>
                <w:szCs w:val="18"/>
              </w:rPr>
              <w:t xml:space="preserve">API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REST API completa + Webhooks configurables para integrar con cualquier pipeline CI/CD existente. SDK disponible.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3. Análisis por Equipo</w:t>
      </w:r>
    </w:p>
    <w:p>
      <w:pPr>
        <w:spacing w:after="120"/>
      </w:pPr>
      <w:r>
        <w:t xml:space="preserve">A continuación se responden las preguntas clave que haría cada área, asumiendo el rol de sus líderes.</w:t>
      </w:r>
    </w:p>
    <w:p/>
    <w:p>
      <w:pPr>
        <w:pStyle w:val="Heading2"/>
      </w:pPr>
      <w:r>
        <w:rPr>
          <w:b/>
          <w:bCs/>
        </w:rPr>
        <w:t xml:space="preserve">3.1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92A" w:sz="6"/>
              <w:left w:val="thick" w:color="D4892A" w:sz="18"/>
              <w:bottom w:val="single" w:color="D4892A" w:sz="6"/>
              <w:right w:val="single" w:color="D4892A" w:sz="6"/>
            </w:tcBorders>
            <w:shd w:fill="FF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D4892A"/>
                <w:sz w:val="19"/>
                <w:szCs w:val="19"/>
              </w:rPr>
              <w:t xml:space="preserve">Preocupación principal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Mantener el Brand Book actualizado sin depender de Tecnología, y gestionar sub-marcas o campañas con acceso controlado para agencias externas.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 de Marketing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Zeroheight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¿Puede Marketing actualizar el brand book sin ayuda de Tecnología?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Sí. Editor visual no-code, arrastrar y soltar, sin HTML.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El setup inicial requiere Tecnología, pero el día a día de edición de docs es accesible para no-técnicos.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¿Se puede manejar más de una marca dentro de la misma plataforma?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Sí, mediante Workspaces (add-on pago). Requiere mantener por separado cada workspace.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Sí, nativo. Brands con overrides. Un cambio global se hereda por todas las marcas automáticamente.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¿Las agencias externas pueden tener acceso limitado (solo lectura)?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Viewers ilimitados en todos los planes. Se comparte un link público o con acceso restringido.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Viewers configurables. Acceso por workspace o sección. Enterprise ofrece control granular de permisos.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¿Se pueden exportar assets directamente para campañas?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Links directos a frames y assets en Figma embebidos en la plataforma.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Exportación de assets en múltiples formatos, incluyendo tokens de color para sistemas de diseño de campañas.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¿Es fácil de aprender para alguien no técnico?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Curva de aprendizaje muy baja. Interfaz similar a Notion/Webflow.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La interfaz de docs es accesible, pero la configuración inicial de pipelines requiere soporte de Tecnología.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3.2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51FA" w:sz="6"/>
              <w:left w:val="thick" w:color="4C51FA" w:sz="18"/>
              <w:bottom w:val="single" w:color="4C51FA" w:sz="6"/>
              <w:right w:val="single" w:color="4C51FA" w:sz="6"/>
            </w:tcBorders>
            <w:shd w:fill="EE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C51FA"/>
                <w:sz w:val="19"/>
                <w:szCs w:val="19"/>
              </w:rPr>
              <w:t xml:space="preserve">Preocupación principal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Que la plataforma funcione como repositorio central de assets de marca accesible para Marketing: ilustraciones, imágenes de campaña, guías de identidad visual (colores, tipografía, uso de logo). El equipo de Diseño necesita publicar y actualizar esos assets sin depender de Tecnología, y que Marketing pueda consumirlos directamente.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 de Diseño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Zeroheight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¿Pueden publicar y gestionar assets visuales (ilustraciones, imágenes, SVGs) sin ayuda técnica?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Editor no-code con embeds de Figma y links directos a assets. Setup en horas sin soporte técnico.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Editor funcional, pero la plataforma está más orientada a product/tech. Curva inicial más alta para perfiles no técnicos.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¿Puede Marketing acceder al Brand Book sin intermediarios?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Viewers ilimitados en todos los planes. URL pública o protegida con contraseña. Sin necesidad de cuenta.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Idem. URL pública o restringida. Viewers no cuentan en el billing.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¿Se puede documentar identidad visual completa — colores, tipografía, uso de logo, tono de voz?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Sí, es el caso de uso principal. Excelente UX para redactar guías narrativas con ejemplos visuales.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Sí, soportado. Aunque la fortaleza de Supernova está en tokens/código, la documentación de marca funciona bien.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¿Las agencias externas pueden acceder como viewers?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URL pública sin cuenta requerida. Viewer experience limpia y profesional.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Idem. Sin necesidad de cuenta para acceso viewer.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¿Se puede versionar o hacer seguimiento de cambios en los assets de marca?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Sin historial automático. El equipo de Diseño debe gestionar versiones manualmente.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Historial vinculado al pipeline de tokens. Cada cambio queda registrado vía Git.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3.3 Producto (Product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92A" w:sz="6"/>
              <w:left w:val="thick" w:color="D4892A" w:sz="18"/>
              <w:bottom w:val="single" w:color="D4892A" w:sz="6"/>
              <w:right w:val="single" w:color="D4892A" w:sz="6"/>
            </w:tcBorders>
            <w:shd w:fill="FF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D4892A"/>
                <w:sz w:val="19"/>
                <w:szCs w:val="19"/>
              </w:rPr>
              <w:t xml:space="preserve">Preocupación principal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Tener visibilidad del estado del design system sin necesitar ayuda técnica: ver qué componentes están disponibles, cuáles están deprecados, y cómo adoptar el sistema en nuevas features.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 de Producto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Zeroheight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¿Puede el equipo de Producto consultar el design system sin pedir ayuda?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Sí, como viewer. La navegación es intuitiva para cualquier perfil.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Sí, idem. Viewers pueden navegar sin configuración.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¿Hay analytics de adopción de componentes?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Measurement module (Starter+): package adoption en código de producción, component usage por repositorio, token/color usage. Analytics de docs y feedback inline.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Design System Adoption Dashboard (mayo 2026): qué componentes usan los equipos en producción y evolución en el tiempo. Documentation analytics en todos los planes.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¿Se integra con herramientas de gestión de proyectos (Notion, Jira)?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Links embed de páginas en Notion/Jira. Sin integración nativa.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Idem. Embed links. Sin conexión directa a tickets o épicas.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¿Hay un changelog visible de los cambios al design system?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Manual. El equipo de Diseño debe actualizar la página de changelog.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Automático. Cada PR de tokens generado por Supernova tiene un mensaje de commit. El historial de Git es el changelog.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¿Qué tan fácil es identificar cuándo un componente está listo para usar?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Etiquetas de estado (Beta, Stable, Deprecated) configurables por el equipo de Diseño.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Idem, con la ventaja de que el estado puede vincularse al estado del componente en Storybook.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3.4 Diseño de Producto (Product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51FA" w:sz="6"/>
              <w:left w:val="thick" w:color="4C51FA" w:sz="18"/>
              <w:bottom w:val="single" w:color="4C51FA" w:sz="6"/>
              <w:right w:val="single" w:color="4C51FA" w:sz="6"/>
            </w:tcBorders>
            <w:shd w:fill="EE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C51FA"/>
                <w:sz w:val="19"/>
                <w:szCs w:val="19"/>
              </w:rPr>
              <w:t xml:space="preserve">Preocupación principal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Que el sync con Figma (Variables, componentes, tokens) sea automático, que la documentación de componentes esté viva y vinculada a los tokens reales, y que Storybook sea una referencia integrada — no solo un embed estático.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 de Diseño de Producto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Zeroheight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¿Qué tan automático es el sync con Figma Variables y componentes?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Sync de frames y estilos con un clic. No gestiona Figma Variables como pipeline.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✅✅ Sync nativo de Variables, Collections y Modes. Detecta cambios y dispara el pipeline automáticamente.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¿Soporta multi-brand (light/dark, temas) sin duplicar trabajo en Figma?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Via múltiples styleguides o tabs por tema. La deduplicación es manual.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Brands + Modes nativos. Los overrides son locales; la base es compartida. Cero duplicación.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¿Es compatible con el pipeline Later v2.0?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Consume el output (muestra los valores), pero no reemplaza ni automatiza el pipeline.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Puede actuar como motor de transformación o coexistir con el repo. Los tokens existentes son importables.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¿Se conecta con Storybook para mostrar componentes vivos?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Embed de stories individuales. Solo display — no sync bidireccional.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Sync bidireccional. Cambios en Figma se reflejan en Storybook via PR automático.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¿Tiene soporte para IA en la generación de docs de componentes?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Asistente de redacción básico.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Supernova Copilot genera borradores de documentación de componentes a partir de los metadatos del token.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3.5 Tecnología (Engineering)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thick" w:color="059669" w:sz="18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19"/>
                <w:szCs w:val="19"/>
              </w:rPr>
              <w:t xml:space="preserve">Preocupación principal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Automatización real del pipeline de tokens (sin pasos manuales), integración con GitHub con transformación a los formatos del proyecto (CSS, Swift, Kotlin), seguridad/SSO, extensibilidad vía MCP para AI coding agents, y capacidad de integrarse con el toolchain existente.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 de Tecnología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Zeroheight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¿Puede abrir un Pull Request automático en GitHub cuando un token cambia en Figma?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Sí. Token Automation disponible en plan Starter+. Detecta cambios, abre PRs en GitHub, GitLab o Bitbucket automáticamente. La transformación a formatos específicos (CSS, Swift, Kotlin) se configura en el repo destino.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Sí. Pipeline nativo: Figma change → detect → transform a CSS/Swift/Kotlin/Dart → PR en GitHub/GitLab/Bitbucket/Azure DevOps. Transformación completa incluida sin pipeline adicional.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¿Tiene API pública para integrar con nuestro pipeline?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API con capacidades de lectura. Management module para governance. Sin webhooks robustos.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REST API completa + Webhooks configurables. Se puede integrar con GitHub Actions, Bitbucket Pipelines, Azure DevOps, etc.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¿Exporta tokens en los formatos que necesitamos (CSS, Swift, Kotlin, JSON)?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Token Automation entrega tokens a GitHub vía PR. La transformación a CSS, Swift, Kotlin requiere pipeline adicional en el repositorio (ej. Style Dictionary). No transforma de forma nativa.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CSS custom properties, SCSS, JSON (DTCG W3C), Swift, Kotlin, Dart, Tailwind CSS v4. Exporters personalizables en TypeScript. Write-on-export: IA genera código durante el export.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¿Soporta MCP para AI coding assistants (Claude Code, Cursor, Copilot)?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Solo Enterprise — MCP integration para alimentar contexto del DS a agentes de código.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Supernova Relay MCP disponible en Pro+ (100K calls/mes). Scoping por equipo en Enterprise. El coding agent lee directamente tu DS, tokens y docs.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¿Tiene SSO / SAML para autenticación corporativa?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Sí, en Enterprise.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Sí, en Enterprise.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¿Dónde viven los datos? ¿Es seguro?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SaaS en AWS. SOC 2 Type II. GDPR compliant. IP whitelisting en Enterprise.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SaaS. SOC 2 Type II. GDPR compliant. Auditoría de accesos en Enterprise.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¿Puede integrarse con nuestro pipeline de Style Dictionary existente?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Token Automation puede coexistir con Style Dictionary. ZH entrega los tokens al repo; SD hace la transformación.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Puede reemplazar Style Dictionary por completo. Los exporters de Supernova son scripts TypeScript equivalentes a los transforms de SD. Los tokens existentes son importables.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¿Tiene soporte para pipelines condicionales (web vs. mobile)?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Token Automation configurable, pero sin soporte nativo para pipelines por plataforma. Requiere configuración en el repo.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Sí. Pipelines separados por Brand + plataforma. Cada pipeline (CSS, Swift, Kotlin) se activa con trigger distinto.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4. Análisis de Costos</w:t>
      </w:r>
    </w:p>
    <w:p>
      <w:pPr>
        <w:spacing w:after="120"/>
      </w:pPr>
      <w:r>
        <w:t xml:space="preserve">Los siguientes precios están en USD y corresponden a información pública disponible a junio 2026. Los planes Enterprise requieren cotización directa con cada proveedor.</w:t>
      </w:r>
    </w:p>
    <w:p/>
    <w:p>
      <w:pPr>
        <w:pStyle w:val="Heading2"/>
      </w:pPr>
      <w:r>
        <w:rPr>
          <w:b/>
          <w:bCs/>
        </w:rPr>
        <w:t xml:space="preserve">4.1 Tabla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Zeroheight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Supernova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$0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$0 / mes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6B7280"/>
                <w:sz w:val="18"/>
                <w:szCs w:val="18"/>
              </w:rPr>
              <w:t xml:space="preserve">ZH: 1 editor, viewers ilimitados. SN: 5 usuarios, limits en AI y automations.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Starter / Pro Builder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$49/editor/mes (anual)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$20/builder/mes (anual)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6B7280"/>
                <w:sz w:val="18"/>
                <w:szCs w:val="18"/>
              </w:rPr>
              <w:t xml:space="preserve">ZH: Starter (único plan paid, incluye Token Automation + Measurement). SN: Pro Builder (builder seats).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— / Pro Full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$35/full seat/mes (anual)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6B7280"/>
                <w:sz w:val="18"/>
                <w:szCs w:val="18"/>
              </w:rPr>
              <w:t xml:space="preserve">SN: Pro Full (acceso completo + MCP Relay 100K calls/mes). ZH no tiene equivalente — solo Starter o Enterprise.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C51FA"/>
                <w:sz w:val="18"/>
                <w:szCs w:val="18"/>
              </w:rPr>
              <w:t xml:space="preserve">Precio personalizado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Precio personalizado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6B7280"/>
                <w:sz w:val="18"/>
                <w:szCs w:val="18"/>
              </w:rPr>
              <w:t xml:space="preserve">ZH: + MCP integration. SN: + MCP scoping avanzado. Ambos SSO, SLA, soporte dedicado. Solicitar cotización.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4.2 Escenario para 100 Ladrillos (estimado)</w:t>
      </w:r>
    </w:p>
    <w:p>
      <w:pPr>
        <w:spacing w:after="120"/>
      </w:pPr>
      <w:r>
        <w:t xml:space="preserve">Asumiendo 5 editores / designers activos (precios junio 2026, USD):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Costo mensual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Costo anual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Diferencia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C51FA"/>
                <w:sz w:val="18"/>
                <w:szCs w:val="18"/>
              </w:rPr>
              <w:t xml:space="preserve">Zeroheight Starter · 5 editores (anual)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$245 / mes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$2,940 / año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Base de comparación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59669"/>
                <w:sz w:val="18"/>
                <w:szCs w:val="18"/>
              </w:rPr>
              <w:t xml:space="preserve">Supernova Pro Full · 5 full seats (anual)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$175 / mes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$2,100 / año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Ahorro de ~$840/año (≈ 28%)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59669"/>
                <w:sz w:val="18"/>
                <w:szCs w:val="18"/>
              </w:rPr>
              <w:t xml:space="preserve">Supernova Pro Builder · 5 builder seats (anual)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$100 / mes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$1,200 / año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59669"/>
                <w:sz w:val="18"/>
                <w:szCs w:val="18"/>
              </w:rPr>
              <w:t xml:space="preserve">Ahorro de ~$1,740/año (≈ 59%)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92A" w:sz="6"/>
              <w:left w:val="thick" w:color="D4892A" w:sz="18"/>
              <w:bottom w:val="single" w:color="D4892A" w:sz="6"/>
              <w:right w:val="single" w:color="D4892A" w:sz="6"/>
            </w:tcBorders>
            <w:shd w:fill="FF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D4892A"/>
                <w:sz w:val="19"/>
                <w:szCs w:val="19"/>
              </w:rPr>
              <w:t xml:space="preserve">Nota importante sobre costos ocultos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Con Token Automation de Zeroheight (Starter+), el PR de tokens llega automáticamente al repo. Sin embargo, el pipeline de transformación en el repositorio (convertir a CSS, Swift, Kotlin) sigue requiriendo mantenimiento de Tecnología. Supernova incluye esa transformación en la plataforma. Estimando 2-4 horas/mes de Tecnología en mantenimiento del pipeline de transformación con ZH, ese costo operativo supera el diferencial de precio entre ambas plataformas.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5. Escalabilidad y Mantenimiento</w:t>
      </w:r>
    </w:p>
    <w:p/>
    <w:p>
      <w:pPr>
        <w:pStyle w:val="Heading2"/>
      </w:pPr>
      <w:r>
        <w:rPr>
          <w:b/>
          <w:bCs/>
        </w:rPr>
        <w:t xml:space="preserve">5.1 Actualización de tokens</w:t>
      </w:r>
    </w:p>
    <w:p>
      <w:pPr>
        <w:pStyle w:val="Heading3"/>
      </w:pPr>
      <w:r>
        <w:rPr>
          <w:b/>
          <w:bCs/>
        </w:rPr>
        <w:t xml:space="preserve">Zeroheight</w:t>
      </w:r>
    </w:p>
    <w:p>
      <w:pPr>
        <w:spacing w:after="120"/>
      </w:pPr>
      <w:r>
        <w:t xml:space="preserve">Con Token Automation (plan Starter+): el designer actualiza una variable en Figma, Zeroheight detecta el cambio y abre un PR automático en GitHub. Sin embargo, la transformación del token a los formatos del proyecto (CSS, Swift, Kotlin) sigue requiriendo un pipeline en el repositorio (ej. Style Dictionary). Zeroheight entrega el cambio al repo — la transformación ocurre del lado del developer.</w:t>
      </w:r>
    </w:p>
    <w:p>
      <w:pPr>
        <w:pStyle w:val="Heading3"/>
      </w:pPr>
      <w:r>
        <w:rPr>
          <w:b/>
          <w:bCs/>
        </w:rPr>
        <w:t xml:space="preserve">Supernova</w:t>
      </w:r>
    </w:p>
    <w:p>
      <w:pPr>
        <w:spacing w:after="120"/>
      </w:pPr>
      <w:r>
        <w:t xml:space="preserve">El proceso es completamente automatizado, incluyendo la transformación de formatos. El designer actualiza una variable en Figma. Supernova detecta el cambio, ejecuta el pipeline de transformación nativo, y abre un Pull Request en GitHub/GitLab/Bitbucket/Azure DevOps con el token actualizado en todos los formatos configurados (CSS, Swift, Kotlin, Dart). Tecnología solo revisa y aprueba el PR. No se requiere pipeline adicional en el repositorio.</w:t>
      </w:r>
    </w:p>
    <w:p/>
    <w:p>
      <w:pPr>
        <w:pStyle w:val="Heading2"/>
      </w:pPr>
      <w:r>
        <w:rPr>
          <w:b/>
          <w:bCs/>
        </w:rPr>
        <w:t xml:space="preserve">5.2 Multi-brand y temas</w:t>
      </w:r>
    </w:p>
    <w:p>
      <w:pPr>
        <w:pStyle w:val="Heading3"/>
      </w:pPr>
      <w:r>
        <w:rPr>
          <w:b/>
          <w:bCs/>
        </w:rPr>
        <w:t xml:space="preserve">Zeroheight</w:t>
      </w:r>
    </w:p>
    <w:p>
      <w:pPr>
        <w:spacing w:after="120"/>
      </w:pPr>
      <w:r>
        <w:t xml:space="preserve">Requiere un Workspace separado por marca o sub-producto. El mantenimiento se duplica: un cambio en los tokens compartidos debe aplicarse manualmente en cada workspace. El add-on de Workspaces tiene costo adicional no publicado (requiere contacto con ventas).</w:t>
      </w:r>
    </w:p>
    <w:p>
      <w:pPr>
        <w:pStyle w:val="Heading3"/>
      </w:pPr>
      <w:r>
        <w:rPr>
          <w:b/>
          <w:bCs/>
        </w:rPr>
        <w:t xml:space="preserve">Supernova</w:t>
      </w:r>
    </w:p>
    <w:p>
      <w:pPr>
        <w:spacing w:after="120"/>
      </w:pPr>
      <w:r>
        <w:t xml:space="preserve">Brands nativos con value overrides. Un cambio en el token base (ej. el color primario de 100 Ladrillos) se hereda por todas las sub-marcas automáticamente. Solo las excepciones explícitas (override) se mantienen por separado. Figma Extended Collections (disponible desde marzo 2026) permite también extender colecciones entre marcas sin duplicar archivos Figma.</w:t>
      </w:r>
    </w:p>
    <w:p/>
    <w:p>
      <w:pPr>
        <w:pStyle w:val="Heading2"/>
      </w:pPr>
      <w:r>
        <w:rPr>
          <w:b/>
          <w:bCs/>
        </w:rPr>
        <w:t xml:space="preserve">5.3 Onboarding de nuevos miembros del equipo</w:t>
      </w:r>
    </w:p>
    <w:p>
      <w:pPr>
        <w:pStyle w:val="Heading3"/>
      </w:pPr>
      <w:r>
        <w:rPr>
          <w:b/>
          <w:bCs/>
        </w:rPr>
        <w:t xml:space="preserve">Zeroheight</w:t>
      </w:r>
    </w:p>
    <w:p>
      <w:pPr>
        <w:spacing w:after="120"/>
      </w:pPr>
      <w:r>
        <w:t xml:space="preserve">Muy rápido. Curva de aprendizaje de 1-2 días. Cualquier perfil (marketing, diseño, producto) puede editar y publicar sin conocimiento técnico. Viewers no requieren ningún setup.</w:t>
      </w:r>
    </w:p>
    <w:p>
      <w:pPr>
        <w:pStyle w:val="Heading3"/>
      </w:pPr>
      <w:r>
        <w:rPr>
          <w:b/>
          <w:bCs/>
        </w:rPr>
        <w:t xml:space="preserve">Supernova</w:t>
      </w:r>
    </w:p>
    <w:p>
      <w:pPr>
        <w:spacing w:after="120"/>
      </w:pPr>
      <w:r>
        <w:t xml:space="preserve">El setup técnico inicial (conectar Figma, configurar pipelines, definir exporters) requiere 3-5 días de trabajo de Tecnología. Una vez configurado, los editores y viewers acceden sin fricción. La complejidad está concentrada en la fase de setup, no en el día a día.</w:t>
      </w:r>
    </w:p>
    <w:p/>
    <w:p>
      <w:pPr>
        <w:pStyle w:val="Heading2"/>
      </w:pPr>
      <w:r>
        <w:rPr>
          <w:b/>
          <w:bCs/>
        </w:rPr>
        <w:t xml:space="preserve">5.4 Interconexión con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5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Zeroheight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Supernova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Figma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Sync nativo de frames, estilos. Token Automation detecta cambios en variables/tokens.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Sync nativo de Variables, Extended Collections, Modes. Rendering de frames en prototipos.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Storybook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Embed de stories (display, no bidireccional)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Sync bidireccional + hosting (mayo 2025). Playground interactivo embebido.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Token Automation: auto-PR de tokens (Starter+). También sync de Markdown para docs.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Auto-PR de tokens con transformación a formatos. Historial vía commits.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GitLab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Token Automation soportado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Soportado nativamente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Bitbucket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Token Automation soportado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Soportado nativamente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Azure DevOps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Soportado nativamente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Slack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Notificaciones de cambios (Enterprise)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Webhooks configurables para notificar en cualquier canal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Notion / Jira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Embed de links de páginas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Embed de links. Sin integración nativa de datos.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Tokens Studio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Integración nativa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MCP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⚠️ Enterprise only — AI coding assistants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Supernova Relay en Pro+ (100K calls/mes). Scoping por equipo.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AI Prototyping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❌ No existe herramienta de prototipado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✅ Portal/Create: AI Prototyping con tus tokens y bibliotecas reales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API propia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API REST con capacidades de lectura + Management module para governance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REST API completa + Webhooks + SDK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6. Recomendación Estratégica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thick" w:color="059669" w:sz="18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19"/>
                <w:szCs w:val="19"/>
              </w:rPr>
              <w:t xml:space="preserve">Decisión recomendada: Supernova como plataforma principal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Ambas plataformas tienen hoy automatización a GitHub. La decisión es sobre completitud del pipeline: Supernova transforma nativamente los tokens a CSS/Swift/Kotlin/Dart sin pipeline adicional, incluye AI Prototyping (Portal/Create) con tus bibliotecas y tokens reales, ofrece MCP Relay desde el plan Pro, y es más económico ($35/seat vs $49/editor). Supernova además unifica las tres capas de documentación — Brand Book (Diseño), componentes (Product Design) y Storybook/código vivo (Tecnología) — en un único lugar.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6.1 Justificación técnica</w:t>
      </w:r>
    </w:p>
    <w:p>
      <w:pPr>
        <w:spacing w:after="120"/>
      </w:pPr>
      <w:r>
        <w:t xml:space="preserve">Hoy el proceso de tokens es completamente manual: un designer exporta desde Figma, y alguien de Tecnología adapta esos valores a mano en cada proyecto (CSS, Android, iOS Swift). Zeroheight Starter ahora ofrece Token Automation (auto-PR en GitHub), pero la transformación a los formatos específicos del proyecto (CSS vars, Swift, Kotlin) requiere un pipeline adicional en el repositorio. Supernova lo resuelve de raíz: lee las Figma Variables, transforma los tokens nativamente al formato requerido, y abre el Pull Request automático — sin pipeline adicional. Supernova además incluye AI Prototyping (Portal/Create): el equipo de Producto puede prototipar features usando las bibliotecas y tokens reales del Design System, importar desde Figma, generar PRDs y exportar el contexto vía MCP a coding agents. Los tokens existentes del proyecto Later v2.0 son importables — no se pierde el trabajo previo.</w:t>
      </w:r>
    </w:p>
    <w:p/>
    <w:p>
      <w:pPr>
        <w:pStyle w:val="Heading2"/>
      </w:pPr>
      <w:r>
        <w:rPr>
          <w:b/>
          <w:bCs/>
        </w:rPr>
        <w:t xml:space="preserve">6.2 Justificación de negocio</w:t>
      </w:r>
    </w:p>
    <w:p>
      <w:pPr>
        <w:spacing w:after="120"/>
      </w:pPr>
      <w:r>
        <w:t xml:space="preserve">El ahorro de costo directo es de ~$840/año (Pro Full) o ~$1,740/año (Pro Builder) frente al plan Starter de Zeroheight con 5 seats. Sumado al costo operativo evitado — el mantenimiento del pipeline de transformación de tokens en el repositorio (2-4h/mes de Tecnología con ZH, eliminado completamente con SN) — el ROI de Supernova es positivo desde el primer trimestre de uso.</w:t>
      </w:r>
    </w:p>
    <w:p/>
    <w:p>
      <w:pPr>
        <w:pStyle w:val="Heading2"/>
      </w:pPr>
      <w:r>
        <w:rPr>
          <w:b/>
          <w:bCs/>
        </w:rPr>
        <w:t xml:space="preserve">6.3 Plan de transición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000"/>
        <w:gridCol w:w="20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59669"/>
                <w:sz w:val="18"/>
                <w:szCs w:val="18"/>
              </w:rPr>
              <w:t xml:space="preserve">Aprobación del benchmark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Leads de cada área revisan este documento y dan el go/no-go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4892A"/>
                <w:sz w:val="18"/>
                <w:szCs w:val="18"/>
              </w:rPr>
              <w:t xml:space="preserve">Q3 2026 – Sem 1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59669"/>
                <w:sz w:val="18"/>
                <w:szCs w:val="18"/>
              </w:rPr>
              <w:t xml:space="preserve">Demo técnica de Supernova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Reunión con el equipo de Tecnología y Diseño de Producto para evaluar el setup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4892A"/>
                <w:sz w:val="18"/>
                <w:szCs w:val="18"/>
              </w:rPr>
              <w:t xml:space="preserve">Q3 2026 – Sem 2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59669"/>
                <w:sz w:val="18"/>
                <w:szCs w:val="18"/>
              </w:rPr>
              <w:t xml:space="preserve">Trial técnico (30 días)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Conectar Later v2.0 a Supernova. Configurar pipeline Figma → GitHub PR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4892A"/>
                <w:sz w:val="18"/>
                <w:szCs w:val="18"/>
              </w:rPr>
              <w:t xml:space="preserve">Q3 2026 – Sem 3-6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59669"/>
                <w:sz w:val="18"/>
                <w:szCs w:val="18"/>
              </w:rPr>
              <w:t xml:space="preserve">Validación por equipos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Diseño, Producto y Marketing validan la experiencia durante el trial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4892A"/>
                <w:sz w:val="18"/>
                <w:szCs w:val="18"/>
              </w:rPr>
              <w:t xml:space="preserve">Q3 2026 – Sem 7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59669"/>
                <w:sz w:val="18"/>
                <w:szCs w:val="18"/>
              </w:rPr>
              <w:t xml:space="preserve">Decisión final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8"/>
                <w:szCs w:val="18"/>
              </w:rPr>
              <w:t xml:space="preserve">Go/No-Go documentado. Si Go: plan de migración de docs desde Zeroheight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4892A"/>
                <w:sz w:val="18"/>
                <w:szCs w:val="18"/>
              </w:rPr>
              <w:t xml:space="preserve">Q3 2026 – Sem 8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6.4 Nota de coexistencia</w:t>
      </w:r>
    </w:p>
    <w:p>
      <w:pPr>
        <w:spacing w:after="120"/>
      </w:pPr>
      <w:r>
        <w:t xml:space="preserve">Zeroheight puede seguir activo durante la transición para no interrumpir a Marketing. El camino sugerido 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A: Supernova corre en paralelo con Later tokens. Solo Tecnología y Diseño de Producto lo usan.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B: Docs técnicas (componentes, tokens, handoff) se migran a Supernova.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C (opcional): Decidir si mantener Zeroheight para el Brand Book de Marketing (su UX de edición es superior) o migrar también esa documentación.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92A" w:sz="6"/>
              <w:left w:val="thick" w:color="D4892A" w:sz="18"/>
              <w:bottom w:val="single" w:color="D4892A" w:sz="6"/>
              <w:right w:val="single" w:color="D4892A" w:sz="6"/>
            </w:tcBorders>
            <w:shd w:fill="FF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D4892A"/>
                <w:sz w:val="19"/>
                <w:szCs w:val="19"/>
              </w:rPr>
              <w:t xml:space="preserve">Cuándo NO migrar a Supernova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Si el equipo de Tecnología no puede dedicar 3-5 días para el setup inicial, o si la prioridad es documentar el brand book rápidamente sin automatización, mantener Zeroheight en el corto plazo es una decisión válida. Supernova sin setup correcto es peor que Zeroheight bien configurado.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7. Fuentes</w:t>
      </w:r>
    </w:p>
    <w:p>
      <w:pPr>
        <w:spacing w:after="120"/>
      </w:pPr>
      <w:r>
        <w:t xml:space="preserve">Información recopilada en junio 2026 de las siguientes fuentes públicas: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Zeroheight — Pricing — https://zeroheight.com/pricing/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Zeroheight — Delivery / Token Automation — https://zeroheight.com/delivery/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Zeroheight — Measurement module — https://zeroheight.com/measurement/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Zeroheight — What's New 2026 — https://zeroheight.com/whats-new/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Supernova — Pricing — https://supernova.io/pricing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Supernova — Home (AI-powered repositioning) — https://supernova.io/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Supernova — Collaborative AI Prototyping (Portal/Create) — https://supernova.io/collaborative-ai-prototyping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Supernova Learn — Welcome &amp; Platform Overview — https://learn.supernova.io/latest/welcome/welcome-to-supernova-Jocg9JuY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Supernova Learn — Automation &amp; Code Pipelines — https://learn.supernova.io/latest/automation/automation-101-n7UChYuk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Supernova Learn — Prototyping (Portal/Create) — https://learn.supernova.io/latest/prototyping/prototyping-101-PpbPaMRk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Supernova Learn — Latest Releases (2024–2026) — https://learn.supernova.io/latest/releases/latest-releases-EhxYhfBn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Información verificada en junio 2026 directamente desde las páginas oficiales de cada plataforma.</w:t>
      </w:r>
    </w:p>
    <w:p/>
    <w:p>
      <w:pPr>
        <w:pBdr>
          <w:bottom w:val="single" w:color="E5E7EB" w:sz="4" w:space="1"/>
        </w:pBdr>
        <w:spacing w:after="120" w:before="120"/>
      </w:pPr>
    </w:p>
    <w:p/>
    <w:p>
      <w:pPr>
        <w:spacing w:after="120"/>
      </w:pPr>
      <w:r>
        <w:rPr>
          <w:b/>
          <w:bCs/>
          <w:color w:val="6B7280"/>
        </w:rPr>
        <w:t xml:space="preserve">Elaborado por: </w:t>
      </w:r>
      <w:r>
        <w:t xml:space="preserve">Alex Facio · 100 Ladrillos · Later Brand System  ·  Junio 2026</w:t>
      </w:r>
    </w:p>
    <w:p>
      <w:pPr>
        <w:spacing w:after="120"/>
      </w:pPr>
      <w:r>
        <w:rPr>
          <w:b/>
          <w:bCs/>
          <w:color w:val="6B7280"/>
        </w:rPr>
        <w:t xml:space="preserve">Clasificación: </w:t>
      </w:r>
      <w:r>
        <w:t xml:space="preserve">Confidencial — Uso interno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00"/>
    </w:pPr>
    <w:r>
      <w:rPr>
        <w:color w:val="6B7280"/>
        <w:sz w:val="16"/>
        <w:szCs w:val="16"/>
      </w:rPr>
      <w:t xml:space="preserve">Confidencial · Uso interno  </w:t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00"/>
    </w:pPr>
    <w:r>
      <w:rPr>
        <w:b/>
        <w:bCs/>
        <w:color w:val="1B2A4A"/>
        <w:sz w:val="16"/>
        <w:szCs w:val="16"/>
      </w:rPr>
      <w:t xml:space="preserve">100 Ladrillos · Later Brand System  </w:t>
    </w:r>
    <w:r>
      <w:rPr>
        <w:color w:val="6B7280"/>
        <w:sz w:val="16"/>
        <w:szCs w:val="16"/>
      </w:rPr>
      <w:t xml:space="preserve">Benchmark: Zeroheight vs Supernova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2A4A" w:sz="4" w:space="1"/>
      </w:pBdr>
      <w:spacing w:after="180" w:before="3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2026-06-17T16:05:28.668Z</dcterms:created>
  <dcterms:modified xsi:type="dcterms:W3CDTF">2026-06-17T16:05:28.671Z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