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tblHeader w:val="true"/>
        </w:trPr>
        <w:tc>
          <w:tcPr>
            <w:tcW w:type="dxa" w:w="10080"/>
            <w:shd w:fill="3B1558"/>
          </w:tcPr>
          <w:p>
            <w:r/>
          </w:p>
        </w:tc>
      </w:tr>
    </w:tbl>
    <w:p/>
    <w:p>
      <w:pPr>
        <w:jc w:val="left"/>
      </w:pPr>
      <w:r>
        <w:rPr>
          <w:rFonts w:ascii="Aptos" w:hAnsi="Aptos"/>
          <w:b/>
          <w:color w:val="8C5A00"/>
          <w:sz w:val="28"/>
        </w:rPr>
        <w:t>PUNTOALERTA RD</w:t>
      </w:r>
    </w:p>
    <w:p>
      <w:pPr>
        <w:pStyle w:val="Title"/>
      </w:pPr>
      <w:r>
        <w:t>Plataforma Inteligente de Riesgo Urbano y Resiliencia Ambiental</w:t>
      </w:r>
    </w:p>
    <w:p>
      <w:pPr>
        <w:pStyle w:val="Subtitle"/>
      </w:pPr>
      <w:r>
        <w:t>Documento de concepto, alcance, estándares y propuesta de valor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157984"/>
            <wp:docPr id="1" name="Picture 1" descr="Constelación decorativa de puntos y estrellas que representa señales ciudadanas conectadas." title="Señales ciudadanas conectad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ntoalerta_constell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579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7344"/>
      </w:tblGrid>
      <w:tr>
        <w:trPr>
          <w:tblHeader w:val="true"/>
        </w:trPr>
        <w:tc>
          <w:tcPr>
            <w:tcW w:type="dxa" w:w="5040"/>
            <w:shd w:fill="F1ECF5"/>
            <w:tcBorders>
              <w:bottom w:val="single" w:sz="6" w:color="E4DCEA"/>
            </w:tcBorders>
          </w:tcPr>
          <w:p>
            <w:r>
              <w:rPr>
                <w:rFonts w:ascii="Aptos" w:hAnsi="Aptos"/>
                <w:b/>
                <w:color w:val="532275"/>
                <w:sz w:val="18"/>
              </w:rPr>
              <w:t>Versión</w:t>
            </w:r>
          </w:p>
        </w:tc>
        <w:tc>
          <w:tcPr>
            <w:tcW w:type="dxa" w:w="5040"/>
            <w:shd w:fill="FFFFFF"/>
            <w:tcBorders>
              <w:bottom w:val="single" w:sz="6" w:color="E4DCEA"/>
            </w:tcBorders>
          </w:tcPr>
          <w:p>
            <w:r>
              <w:rPr>
                <w:rFonts w:ascii="Aptos" w:hAnsi="Aptos"/>
                <w:color w:val="24172D"/>
                <w:sz w:val="18"/>
              </w:rPr>
              <w:t>1.0</w:t>
            </w:r>
          </w:p>
        </w:tc>
      </w:tr>
      <w:tr>
        <w:tc>
          <w:tcPr>
            <w:tcW w:type="dxa" w:w="5040"/>
            <w:shd w:fill="F1ECF5"/>
            <w:tcBorders>
              <w:bottom w:val="single" w:sz="6" w:color="E4DCEA"/>
            </w:tcBorders>
          </w:tcPr>
          <w:p>
            <w:r>
              <w:rPr>
                <w:rFonts w:ascii="Aptos" w:hAnsi="Aptos"/>
                <w:b/>
                <w:color w:val="532275"/>
                <w:sz w:val="18"/>
              </w:rPr>
              <w:t>Propósito</w:t>
            </w:r>
          </w:p>
        </w:tc>
        <w:tc>
          <w:tcPr>
            <w:tcW w:type="dxa" w:w="5040"/>
            <w:shd w:fill="FFFFFF"/>
            <w:tcBorders>
              <w:bottom w:val="single" w:sz="6" w:color="E4DCEA"/>
            </w:tcBorders>
          </w:tcPr>
          <w:p>
            <w:r>
              <w:rPr>
                <w:rFonts w:ascii="Aptos" w:hAnsi="Aptos"/>
                <w:color w:val="24172D"/>
                <w:sz w:val="18"/>
              </w:rPr>
              <w:t>Explicar PuntoAlerta RD de forma consistente a equipo, jurado, aliados técnicos y potenciales instituciones.</w:t>
            </w:r>
          </w:p>
        </w:tc>
      </w:tr>
    </w:tbl>
    <w:p>
      <w:pPr>
        <w:spacing w:before="440"/>
      </w:pPr>
      <w:r>
        <w:rPr>
          <w:rFonts w:ascii="Aptos" w:hAnsi="Aptos"/>
          <w:i/>
          <w:color w:val="625A68"/>
          <w:sz w:val="18"/>
        </w:rPr>
        <w:t>Identidad visual: blanco + morado + dorado, con una constelación de estrellas como símbolo de señales ciudadanas conectadas. La identidad evita copiar logotipos, proporciones o símbolos de organizaciones políticas.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01  </w:t>
      </w:r>
      <w:r>
        <w:rPr>
          <w:rFonts w:ascii="Aptos" w:hAnsi="Aptos"/>
          <w:b/>
          <w:color w:val="3B1558"/>
        </w:rPr>
        <w:t>Resumen ejecutivo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02  </w:t>
      </w:r>
      <w:r>
        <w:rPr>
          <w:rFonts w:ascii="Aptos" w:hAnsi="Aptos"/>
          <w:b/>
          <w:color w:val="3B1558"/>
        </w:rPr>
        <w:t>Problema y oportunidad en RD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03  </w:t>
      </w:r>
      <w:r>
        <w:rPr>
          <w:rFonts w:ascii="Aptos" w:hAnsi="Aptos"/>
          <w:b/>
          <w:color w:val="3B1558"/>
        </w:rPr>
        <w:t>Qué es PuntoAlerta RD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04  </w:t>
      </w:r>
      <w:r>
        <w:rPr>
          <w:rFonts w:ascii="Aptos" w:hAnsi="Aptos"/>
          <w:b/>
          <w:color w:val="3B1558"/>
        </w:rPr>
        <w:t>Diferencial frente a soluciones existentes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05  </w:t>
      </w:r>
      <w:r>
        <w:rPr>
          <w:rFonts w:ascii="Aptos" w:hAnsi="Aptos"/>
          <w:b/>
          <w:color w:val="3B1558"/>
        </w:rPr>
        <w:t>Usuarios y casos de uso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06  </w:t>
      </w:r>
      <w:r>
        <w:rPr>
          <w:rFonts w:ascii="Aptos" w:hAnsi="Aptos"/>
          <w:b/>
          <w:color w:val="3B1558"/>
        </w:rPr>
        <w:t>Modelo funcional end-to-end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07  </w:t>
      </w:r>
      <w:r>
        <w:rPr>
          <w:rFonts w:ascii="Aptos" w:hAnsi="Aptos"/>
          <w:b/>
          <w:color w:val="3B1558"/>
        </w:rPr>
        <w:t>Inteligencia de riesgo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08  </w:t>
      </w:r>
      <w:r>
        <w:rPr>
          <w:rFonts w:ascii="Aptos" w:hAnsi="Aptos"/>
          <w:b/>
          <w:color w:val="3B1558"/>
        </w:rPr>
        <w:t>Clima y prevención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09  </w:t>
      </w:r>
      <w:r>
        <w:rPr>
          <w:rFonts w:ascii="Aptos" w:hAnsi="Aptos"/>
          <w:b/>
          <w:color w:val="3B1558"/>
        </w:rPr>
        <w:t>Rutas de menor exposición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10  </w:t>
      </w:r>
      <w:r>
        <w:rPr>
          <w:rFonts w:ascii="Aptos" w:hAnsi="Aptos"/>
          <w:b/>
          <w:color w:val="3B1558"/>
        </w:rPr>
        <w:t>Modelo de datos y ciclo de vida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11  </w:t>
      </w:r>
      <w:r>
        <w:rPr>
          <w:rFonts w:ascii="Aptos" w:hAnsi="Aptos"/>
          <w:b/>
          <w:color w:val="3B1558"/>
        </w:rPr>
        <w:t>Gobernanza, privacidad y seguridad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12  </w:t>
      </w:r>
      <w:r>
        <w:rPr>
          <w:rFonts w:ascii="Aptos" w:hAnsi="Aptos"/>
          <w:b/>
          <w:color w:val="3B1558"/>
        </w:rPr>
        <w:t>Identidad visual y accesibilidad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13  </w:t>
      </w:r>
      <w:r>
        <w:rPr>
          <w:rFonts w:ascii="Aptos" w:hAnsi="Aptos"/>
          <w:b/>
          <w:color w:val="3B1558"/>
        </w:rPr>
        <w:t>Métricas de éxito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14  </w:t>
      </w:r>
      <w:r>
        <w:rPr>
          <w:rFonts w:ascii="Aptos" w:hAnsi="Aptos"/>
          <w:b/>
          <w:color w:val="3B1558"/>
        </w:rPr>
        <w:t>Roadmap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15  </w:t>
      </w:r>
      <w:r>
        <w:rPr>
          <w:rFonts w:ascii="Aptos" w:hAnsi="Aptos"/>
          <w:b/>
          <w:color w:val="3B1558"/>
        </w:rPr>
        <w:t>Supuestos, límites y riesgos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16  </w:t>
      </w:r>
      <w:r>
        <w:rPr>
          <w:rFonts w:ascii="Aptos" w:hAnsi="Aptos"/>
          <w:b/>
          <w:color w:val="3B1558"/>
        </w:rPr>
        <w:t>Referencias validadas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b/>
        </w:rPr>
        <w:t>PuntoAlerta RD</w:t>
      </w:r>
      <w:r>
        <w:t xml:space="preserve"> es una plataforma digital que convierte reportes ciudadanos geolocalizados en señales de riesgo urbano útiles para prevención, priorización operativa y respuesta. El ciudadano toma una foto o video de una condición observable —por ejemplo, basura acumulada, drenaje obstruido, agua acumulada o vía afectada— y el sistema registra ubicación y hora, clasifica la evidencia con IA y la incorpora a un mapa vivo de incidentes.</w:t>
      </w:r>
    </w:p>
    <w:p>
      <w:r>
        <w:rPr>
          <w:b/>
        </w:rPr>
        <w:t xml:space="preserve">El valor diferencial no es solamente recibir denuncias. </w:t>
      </w:r>
      <w:r>
        <w:t>PuntoAlerta RD conserva y combina las señales con recurrencia, historial, condiciones meteorológicas y contexto geográfico para generar un Risk Score explicable. Cuando cambia el pronóstico, un punto puede cambiar de prioridad, permitiendo identificar dónde conviene intervenir antes de que el problema escale.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  <w:tblHeader w:val="true"/>
        </w:trPr>
        <w:tc>
          <w:tcPr>
            <w:tcW w:type="dxa" w:w="10080"/>
            <w:shd w:fill="FFF8D7"/>
            <w:tcBorders>
              <w:left w:val="single" w:sz="18" w:color="8C5A00"/>
            </w:tcBorders>
          </w:tcPr>
          <w:p>
            <w:r>
              <w:rPr>
                <w:rFonts w:ascii="Aptos" w:hAnsi="Aptos"/>
                <w:b/>
                <w:color w:val="8C5A00"/>
                <w:sz w:val="21"/>
              </w:rPr>
              <w:t>Propuesta de valor en una frase</w:t>
            </w:r>
          </w:p>
          <w:p>
            <w:r>
              <w:rPr>
                <w:rFonts w:ascii="Aptos" w:hAnsi="Aptos"/>
                <w:color w:val="24172D"/>
                <w:sz w:val="18"/>
              </w:rPr>
              <w:t>Usar lo que la ciudad reporta hoy para identificar qué punto atender primero y reducir exposición al riesgo mañana.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Aptos" w:hAnsi="Aptos"/>
          <w:b/>
          <w:color w:val="24172D"/>
        </w:rPr>
        <w:t xml:space="preserve">Modo ciudadano: </w:t>
      </w:r>
      <w:r>
        <w:rPr>
          <w:rFonts w:ascii="Aptos" w:hAnsi="Aptos"/>
          <w:color w:val="24172D"/>
        </w:rPr>
        <w:t>reportar en menos de 30 segundos y consultar incidentes/riesgo cercano.</w:t>
      </w:r>
    </w:p>
    <w:p>
      <w:pPr>
        <w:pStyle w:val="ListBullet"/>
        <w:spacing w:after="40"/>
      </w:pPr>
      <w:r>
        <w:rPr>
          <w:rFonts w:ascii="Aptos" w:hAnsi="Aptos"/>
          <w:b/>
          <w:color w:val="24172D"/>
        </w:rPr>
        <w:t xml:space="preserve">Modo operativo: </w:t>
      </w:r>
      <w:r>
        <w:rPr>
          <w:rFonts w:ascii="Aptos" w:hAnsi="Aptos"/>
          <w:color w:val="24172D"/>
        </w:rPr>
        <w:t>priorizar incidentes y organizar rutas de intervención para brigadas.</w:t>
      </w:r>
    </w:p>
    <w:p>
      <w:pPr>
        <w:pStyle w:val="ListBullet"/>
        <w:spacing w:after="40"/>
      </w:pPr>
      <w:r>
        <w:rPr>
          <w:rFonts w:ascii="Aptos" w:hAnsi="Aptos"/>
          <w:b/>
          <w:color w:val="24172D"/>
        </w:rPr>
        <w:t xml:space="preserve">Modo preventivo: </w:t>
      </w:r>
      <w:r>
        <w:rPr>
          <w:rFonts w:ascii="Aptos" w:hAnsi="Aptos"/>
          <w:color w:val="24172D"/>
        </w:rPr>
        <w:t>recalcular prioridad cuando cambia el clima o aumenta la recurrencia.</w:t>
      </w:r>
    </w:p>
    <w:p>
      <w:pPr>
        <w:pStyle w:val="ListBullet"/>
        <w:spacing w:after="40"/>
      </w:pPr>
      <w:r>
        <w:rPr>
          <w:rFonts w:ascii="Aptos" w:hAnsi="Aptos"/>
          <w:b/>
          <w:color w:val="24172D"/>
        </w:rPr>
        <w:t xml:space="preserve">Modo movilidad: </w:t>
      </w:r>
      <w:r>
        <w:rPr>
          <w:rFonts w:ascii="Aptos" w:hAnsi="Aptos"/>
          <w:color w:val="24172D"/>
        </w:rPr>
        <w:t>comparar alternativas de ruta según exposición a incidentes conocidos, sin sustituir instrucciones oficiales.</w:t>
      </w:r>
    </w:p>
    <w:p>
      <w:pPr>
        <w:pStyle w:val="Heading1"/>
      </w:pPr>
      <w:r>
        <w:t>2. Problema y oportunidad en República Dominicana</w:t>
      </w:r>
    </w:p>
    <w:p>
      <w:r>
        <w:t>RD ya cuenta con canales de denuncia ambiental; por eso el proyecto no debe presentarse como “la primera app para reportar basura”. Línea Verde RD permite denuncias con fotos/videos y seguimiento [S1]. La oportunidad es transformar reportes dispersos y reactivos en inteligencia preventiva y operacional.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  <w:tblHeader w:val="true"/>
        </w:trPr>
        <w:tc>
          <w:tcPr>
            <w:tcW w:type="dxa" w:w="10080"/>
            <w:shd w:fill="F3EEF7"/>
            <w:tcBorders>
              <w:left w:val="single" w:sz="18" w:color="532275"/>
            </w:tcBorders>
          </w:tcPr>
          <w:p>
            <w:r>
              <w:rPr>
                <w:rFonts w:ascii="Aptos" w:hAnsi="Aptos"/>
                <w:b/>
                <w:color w:val="532275"/>
                <w:sz w:val="21"/>
              </w:rPr>
              <w:t>Dato que sostiene el problema</w:t>
            </w:r>
          </w:p>
          <w:p>
            <w:r>
              <w:rPr>
                <w:rFonts w:ascii="Aptos" w:hAnsi="Aptos"/>
                <w:color w:val="24172D"/>
                <w:sz w:val="18"/>
              </w:rPr>
              <w:t>En octubre de 2025, Presidencia reportó que el Gobierno y el Ayuntamiento del Distrito Nacional habían reforzado 50 de 75 puntos críticos de drenaje de la capital. Esos puntos se definieron considerando historial de inundaciones, acumulación de residuos, densidad poblacional y conectividad con redes de drenaje y transporte [S2].</w:t>
            </w:r>
          </w:p>
        </w:tc>
      </w:tr>
    </w:tbl>
    <w:p>
      <w:pPr>
        <w:spacing w:after="0"/>
      </w:pPr>
    </w:p>
    <w:p>
      <w:r>
        <w:t>Ese criterio es muy cercano a la lógica de PuntoAlerta RD: combinar señales urbanas, historial y contexto para priorizar. Además, el mismo reporte oficial menciona un piloto de semáforos pluviales y el uso de videovigilancia del 9-1-1 para detectar niveles de agua y reposicionar equipos [S2]. Esto valida que existe necesidad institucional de monitoreo y priorización en tiempo real.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Un reporte aislado sirve para responder a una incidencia; una serie histórica de reportes sirve para descubrir recurrencia.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La lluvia prevista cambia el nivel de riesgo de una obstrucción que, en condiciones secas, podría ser de baja prioridad.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La información ciudadana puede aportar granularidad de calle o esquina que complemente las alertas macro de organismos oficiales.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Los datos abiertos de INDOMET permiten explorar posteriormente correlaciones históricas entre precipitación e incidencias [S3].</w:t>
      </w:r>
    </w:p>
    <w:p>
      <w:pPr>
        <w:pStyle w:val="Heading1"/>
      </w:pPr>
      <w:r>
        <w:t>3. Qué es PuntoAlerta RD</w:t>
      </w:r>
    </w:p>
    <w:p>
      <w:r>
        <w:t>PuntoAlerta RD es una capa de inteligencia cívica y ambiental compuesta por cinco capacidades: captura, comprensión, priorización, visualización y acción.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320"/>
        <w:gridCol w:w="3312"/>
      </w:tblGrid>
      <w:tr>
        <w:trPr>
          <w:tblHeader w:val="true"/>
        </w:trPr>
        <w:tc>
          <w:tcPr>
            <w:tcW w:type="dxa" w:w="336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Capacidad</w:t>
            </w:r>
          </w:p>
        </w:tc>
        <w:tc>
          <w:tcPr>
            <w:tcW w:type="dxa" w:w="336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Qué hace</w:t>
            </w:r>
          </w:p>
        </w:tc>
        <w:tc>
          <w:tcPr>
            <w:tcW w:type="dxa" w:w="336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Captura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Foto/video + GPS + fecha/hora + nota opcional.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Incidente geolocalizado.</w:t>
            </w:r>
          </w:p>
        </w:tc>
      </w:tr>
      <w:tr>
        <w:tc>
          <w:tcPr>
            <w:tcW w:type="dxa" w:w="1728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Comprensión</w:t>
            </w:r>
          </w:p>
        </w:tc>
        <w:tc>
          <w:tcPr>
            <w:tcW w:type="dxa" w:w="432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IA propone categoría, severidad y señales visibles.</w:t>
            </w:r>
          </w:p>
        </w:tc>
        <w:tc>
          <w:tcPr>
            <w:tcW w:type="dxa" w:w="3312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Datos estructurados.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Priorización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Risk Engine combina severidad, recurrencia, clima e historial.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Nivel 0-100 + razones.</w:t>
            </w:r>
          </w:p>
        </w:tc>
      </w:tr>
      <w:tr>
        <w:tc>
          <w:tcPr>
            <w:tcW w:type="dxa" w:w="1728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Visualización</w:t>
            </w:r>
          </w:p>
        </w:tc>
        <w:tc>
          <w:tcPr>
            <w:tcW w:type="dxa" w:w="432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Mapa público y dashboard operacional.</w:t>
            </w:r>
          </w:p>
        </w:tc>
        <w:tc>
          <w:tcPr>
            <w:tcW w:type="dxa" w:w="3312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Contexto espacial y hotspots.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Acción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Cola priorizada, ruta de brigada y comparación de rutas.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Decisiones accionables.</w:t>
            </w:r>
          </w:p>
        </w:tc>
      </w:tr>
    </w:tbl>
    <w:p>
      <w:pPr>
        <w:spacing w:after="0"/>
      </w:pPr>
    </w:p>
    <w:p>
      <w:pPr>
        <w:pStyle w:val="Heading2"/>
      </w:pPr>
      <w:r>
        <w:t>Objetivos del producto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Reducir fricción para reportar condiciones ambientales/urbanas observables.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Transformar evidencia no estructurada en incidentes normalizados.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Detectar duplicados y recurrencia para evitar ruido y revelar patrones.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Ajustar prioridad según condiciones meteorológicas y contexto histórico.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Ofrecer información explicable: siempre mostrar por qué un punto tiene cierto riesgo.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Mantener separación clara entre “señal ciudadana”, “validación operativa” y “alerta oficial”.</w:t>
      </w:r>
    </w:p>
    <w:p>
      <w:pPr>
        <w:pStyle w:val="Heading2"/>
      </w:pPr>
      <w:r>
        <w:t>No objetivos del MVP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No emitir alertas oficiales de emergencia ni sustituir al COE, INDOMET, 9-1-1 o autoridades municipales.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No afirmar que una calle es segura; únicamente indicar exposición relativa a incidentes conocidos.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No identificar automáticamente infractores ni emitir sanciones.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No entrenar un modelo propio de predicción de inundaciones durante el hackathon.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No cubrir todo el país desde el primer día; se demostrará una zona acotada.</w:t>
      </w:r>
    </w:p>
    <w:p>
      <w:pPr>
        <w:pStyle w:val="Heading1"/>
      </w:pPr>
      <w:r>
        <w:t>4. Diferencial frente a soluciones existentes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3600"/>
        <w:gridCol w:w="3600"/>
      </w:tblGrid>
      <w:tr>
        <w:trPr>
          <w:tblHeader w:val="true"/>
        </w:trPr>
        <w:tc>
          <w:tcPr>
            <w:tcW w:type="dxa" w:w="336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Dimensión</w:t>
            </w:r>
          </w:p>
        </w:tc>
        <w:tc>
          <w:tcPr>
            <w:tcW w:type="dxa" w:w="336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Canal tradicional de denuncia</w:t>
            </w:r>
          </w:p>
        </w:tc>
        <w:tc>
          <w:tcPr>
            <w:tcW w:type="dxa" w:w="336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PuntoAlerta RD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Entrada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Formulario / evidencia.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Evidencia + GPS con clasificación asistida.</w:t>
            </w:r>
          </w:p>
        </w:tc>
      </w:tr>
      <w:tr>
        <w:tc>
          <w:tcPr>
            <w:tcW w:type="dxa" w:w="216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Unidad principal</w:t>
            </w:r>
          </w:p>
        </w:tc>
        <w:tc>
          <w:tcPr>
            <w:tcW w:type="dxa" w:w="360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Caso o denuncia.</w:t>
            </w:r>
          </w:p>
        </w:tc>
        <w:tc>
          <w:tcPr>
            <w:tcW w:type="dxa" w:w="360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Incidente + zona + patrón.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Después de resolver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El caso se cierra.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El historial sigue alimentando recurrencia.</w:t>
            </w:r>
          </w:p>
        </w:tc>
      </w:tr>
      <w:tr>
        <w:tc>
          <w:tcPr>
            <w:tcW w:type="dxa" w:w="216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Clima</w:t>
            </w:r>
          </w:p>
        </w:tc>
        <w:tc>
          <w:tcPr>
            <w:tcW w:type="dxa" w:w="360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Normalmente separado.</w:t>
            </w:r>
          </w:p>
        </w:tc>
        <w:tc>
          <w:tcPr>
            <w:tcW w:type="dxa" w:w="360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Recalcula prioridad según pronóstico.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Duplicados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Pueden entrar como casos separados.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Se agrupan como evidencia del mismo punto.</w:t>
            </w:r>
          </w:p>
        </w:tc>
      </w:tr>
      <w:tr>
        <w:tc>
          <w:tcPr>
            <w:tcW w:type="dxa" w:w="216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Explicabilidad</w:t>
            </w:r>
          </w:p>
        </w:tc>
        <w:tc>
          <w:tcPr>
            <w:tcW w:type="dxa" w:w="360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Estado del caso.</w:t>
            </w:r>
          </w:p>
        </w:tc>
        <w:tc>
          <w:tcPr>
            <w:tcW w:type="dxa" w:w="360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Risk Score + factores que lo elevan.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Movilidad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No es el foco.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Compara exposición de alternativas de ruta.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  <w:tblHeader w:val="true"/>
        </w:trPr>
        <w:tc>
          <w:tcPr>
            <w:tcW w:type="dxa" w:w="10080"/>
            <w:shd w:fill="FFF8D7"/>
            <w:tcBorders>
              <w:left w:val="single" w:sz="18" w:color="8C5A00"/>
            </w:tcBorders>
          </w:tcPr>
          <w:p>
            <w:r>
              <w:rPr>
                <w:rFonts w:ascii="Aptos" w:hAnsi="Aptos"/>
                <w:b/>
                <w:color w:val="8C5A00"/>
                <w:sz w:val="21"/>
              </w:rPr>
              <w:t>Posicionamiento recomendado</w:t>
            </w:r>
          </w:p>
          <w:p>
            <w:r>
              <w:rPr>
                <w:rFonts w:ascii="Aptos" w:hAnsi="Aptos"/>
                <w:color w:val="24172D"/>
                <w:sz w:val="18"/>
              </w:rPr>
              <w:t>“No somos otro buzón de quejas. Convertimos señales ciudadanas en una capa de inteligencia para priorizar, anticipar y responder mejor.”</w:t>
            </w:r>
          </w:p>
        </w:tc>
      </w:tr>
    </w:tbl>
    <w:p>
      <w:pPr>
        <w:spacing w:after="0"/>
      </w:pPr>
    </w:p>
    <w:p>
      <w:pPr>
        <w:pStyle w:val="Heading1"/>
      </w:pPr>
      <w:r>
        <w:t>5. Usuarios y casos de uso</w:t>
      </w:r>
    </w:p>
    <w:p>
      <w:pPr>
        <w:pStyle w:val="Heading2"/>
      </w:pPr>
      <w:r>
        <w:t>Ciudadano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Reportar una condición en menos de 30 segundos.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Ver el estado del reporte y si fue agrupado con otros.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Consultar mapa público sin exponer datos personales ni evidencia sensible.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Comparar alternativas de movilidad con indicación de exposición a puntos conocidos.</w:t>
      </w:r>
    </w:p>
    <w:p>
      <w:pPr>
        <w:pStyle w:val="Heading2"/>
      </w:pPr>
      <w:r>
        <w:t>Operador municipal / brigada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Ver cola ordenada por riesgo y severidad.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Validar/corregir clasificación de IA.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Cambiar estados: reportado, validado, asignado, en proceso, resuelto, descartado.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Generar secuencia sugerida de intervención.</w:t>
      </w:r>
    </w:p>
    <w:p>
      <w:pPr>
        <w:pStyle w:val="Heading2"/>
      </w:pPr>
      <w:r>
        <w:t>Analista / planificación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Identificar hotspots recurrentes.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Comparar cantidad de incidentes por categoría y zona.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Revisar puntos que reaparecen después de ser resueltos.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Explorar correlaciones con lluvia e historial en fases posteriores.</w:t>
      </w:r>
    </w:p>
    <w:p>
      <w:pPr>
        <w:pStyle w:val="Heading1"/>
      </w:pPr>
      <w:r>
        <w:t>6. Modelo funcional end-to-end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1.  </w:t>
      </w:r>
      <w:r>
        <w:rPr>
          <w:rFonts w:ascii="Aptos" w:hAnsi="Aptos"/>
          <w:color w:val="24172D"/>
        </w:rPr>
        <w:t>El usuario abre la PWA y selecciona “Reportar un punto”.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2.  </w:t>
      </w:r>
      <w:r>
        <w:rPr>
          <w:rFonts w:ascii="Aptos" w:hAnsi="Aptos"/>
          <w:color w:val="24172D"/>
        </w:rPr>
        <w:t>La aplicación solicita permiso de ubicación únicamente cuando es necesario y explica el uso.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3.  </w:t>
      </w:r>
      <w:r>
        <w:rPr>
          <w:rFonts w:ascii="Aptos" w:hAnsi="Aptos"/>
          <w:color w:val="24172D"/>
        </w:rPr>
        <w:t>El usuario toma/sube una foto. Video se considera P1; el MVP puede iniciar con una imagen.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4.  </w:t>
      </w:r>
      <w:r>
        <w:rPr>
          <w:rFonts w:ascii="Aptos" w:hAnsi="Aptos"/>
          <w:color w:val="24172D"/>
        </w:rPr>
        <w:t>Se valida tipo, tamaño y dimensiones del archivo antes de enviar.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5.  </w:t>
      </w:r>
      <w:r>
        <w:rPr>
          <w:rFonts w:ascii="Aptos" w:hAnsi="Aptos"/>
          <w:color w:val="24172D"/>
        </w:rPr>
        <w:t>El backend guarda el reporte con estado REPORTADO y media privada.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6.  </w:t>
      </w:r>
      <w:r>
        <w:rPr>
          <w:rFonts w:ascii="Aptos" w:hAnsi="Aptos"/>
          <w:color w:val="24172D"/>
        </w:rPr>
        <w:t>El proveedor de visión analiza la imagen y devuelve JSON estructurado con categoría, severidad, señales y confianza.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7.  </w:t>
      </w:r>
      <w:r>
        <w:rPr>
          <w:rFonts w:ascii="Aptos" w:hAnsi="Aptos"/>
          <w:color w:val="24172D"/>
        </w:rPr>
        <w:t>El sistema valida el JSON contra un esquema estricto; si falla, marca NEEDS_REVIEW sin bloquear el reporte.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8.  </w:t>
      </w:r>
      <w:r>
        <w:rPr>
          <w:rFonts w:ascii="Aptos" w:hAnsi="Aptos"/>
          <w:color w:val="24172D"/>
        </w:rPr>
        <w:t>Se ejecuta búsqueda geoespacial de posibles duplicados en un radio y ventana temporal configurables.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9.  </w:t>
      </w:r>
      <w:r>
        <w:rPr>
          <w:rFonts w:ascii="Aptos" w:hAnsi="Aptos"/>
          <w:color w:val="24172D"/>
        </w:rPr>
        <w:t>Se obtiene contexto meteorológico de la zona.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10.  </w:t>
      </w:r>
      <w:r>
        <w:rPr>
          <w:rFonts w:ascii="Aptos" w:hAnsi="Aptos"/>
          <w:color w:val="24172D"/>
        </w:rPr>
        <w:t>El Risk Engine calcula score y razones. No utiliza una caja negra en el MVP.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11.  </w:t>
      </w:r>
      <w:r>
        <w:rPr>
          <w:rFonts w:ascii="Aptos" w:hAnsi="Aptos"/>
          <w:color w:val="24172D"/>
        </w:rPr>
        <w:t>El mapa y dashboard se actualizan.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12.  </w:t>
      </w:r>
      <w:r>
        <w:rPr>
          <w:rFonts w:ascii="Aptos" w:hAnsi="Aptos"/>
          <w:color w:val="24172D"/>
        </w:rPr>
        <w:t>Un operador puede validar, asignar y resolver el incidente.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13.  </w:t>
      </w:r>
      <w:r>
        <w:rPr>
          <w:rFonts w:ascii="Aptos" w:hAnsi="Aptos"/>
          <w:color w:val="24172D"/>
        </w:rPr>
        <w:t>El incidente resuelto deja de mostrarse como activo, pero su registro anonimizado continúa aportando a recurrencia/historial.</w:t>
      </w:r>
    </w:p>
    <w:p>
      <w:pPr>
        <w:pStyle w:val="Heading1"/>
      </w:pPr>
      <w:r>
        <w:t>7. Inteligencia de riesgo</w:t>
      </w:r>
    </w:p>
    <w:p>
      <w:r>
        <w:t>El Risk Score del MVP será determinista y explicable. Debe representar prioridad operativa, no una probabilidad científica de inundación. El score se normaliza de 0 a 100 y debe guardar también sus componentes para auditoría.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1584"/>
        <w:gridCol w:w="4896"/>
      </w:tblGrid>
      <w:tr>
        <w:trPr>
          <w:tblHeader w:val="true"/>
        </w:trPr>
        <w:tc>
          <w:tcPr>
            <w:tcW w:type="dxa" w:w="336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Factor</w:t>
            </w:r>
          </w:p>
        </w:tc>
        <w:tc>
          <w:tcPr>
            <w:tcW w:type="dxa" w:w="336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Peso MVP</w:t>
            </w:r>
          </w:p>
        </w:tc>
        <w:tc>
          <w:tcPr>
            <w:tcW w:type="dxa" w:w="336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Ejemplo de entrada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Severidad observada</w:t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30%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IA + corrección de operador, 0-100.</w:t>
            </w:r>
          </w:p>
        </w:tc>
      </w:tr>
      <w:tr>
        <w:tc>
          <w:tcPr>
            <w:tcW w:type="dxa" w:w="3024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Recurrencia reciente</w:t>
            </w:r>
          </w:p>
        </w:tc>
        <w:tc>
          <w:tcPr>
            <w:tcW w:type="dxa" w:w="1584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25%</w:t>
            </w:r>
          </w:p>
        </w:tc>
        <w:tc>
          <w:tcPr>
            <w:tcW w:type="dxa" w:w="4896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Número de incidentes similares cercanos.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Lluvia pronosticada</w:t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20%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Precipitación acumulada próxima, normalizada.</w:t>
            </w:r>
          </w:p>
        </w:tc>
      </w:tr>
      <w:tr>
        <w:tc>
          <w:tcPr>
            <w:tcW w:type="dxa" w:w="3024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Historial del punto</w:t>
            </w:r>
          </w:p>
        </w:tc>
        <w:tc>
          <w:tcPr>
            <w:tcW w:type="dxa" w:w="1584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15%</w:t>
            </w:r>
          </w:p>
        </w:tc>
        <w:tc>
          <w:tcPr>
            <w:tcW w:type="dxa" w:w="4896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Incidentes históricos de la zona.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Contexto adicional</w:t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10%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Vía principal, drenaje, alerta oficial manual, etc.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  <w:tblHeader w:val="true"/>
        </w:trPr>
        <w:tc>
          <w:tcPr>
            <w:tcW w:type="dxa" w:w="10080"/>
            <w:shd w:fill="FDECEC"/>
            <w:tcBorders>
              <w:left w:val="single" w:sz="18" w:color="B42318"/>
            </w:tcBorders>
          </w:tcPr>
          <w:p>
            <w:r>
              <w:rPr>
                <w:rFonts w:ascii="Aptos" w:hAnsi="Aptos"/>
                <w:b/>
                <w:color w:val="B42318"/>
                <w:sz w:val="21"/>
              </w:rPr>
              <w:t>Regla de seguridad</w:t>
            </w:r>
          </w:p>
          <w:p>
            <w:r>
              <w:rPr>
                <w:rFonts w:ascii="Aptos" w:hAnsi="Aptos"/>
                <w:color w:val="24172D"/>
                <w:sz w:val="18"/>
              </w:rPr>
              <w:t>La interfaz nunca debe presentar el score como “probabilidad de que ocurra una inundación”. Debe etiquetarse “Nivel de riesgo/prioridad según señales disponibles”.</w:t>
            </w:r>
          </w:p>
        </w:tc>
      </w:tr>
    </w:tbl>
    <w:p>
      <w:pPr>
        <w:spacing w:after="0"/>
      </w:pPr>
    </w:p>
    <w:p>
      <w:r>
        <w:t>Niveles sugeridos: 0-25 BAJO, 26-50 MODERADO, 51-75 ALTO, 76-100 CRÍTICO. El color nunca será la única señal: cada estado tendrá texto, icono y valor numérico para cumplir con WCAG 2.2 [S4].</w:t>
      </w:r>
    </w:p>
    <w:p>
      <w:pPr>
        <w:pStyle w:val="Heading1"/>
      </w:pPr>
      <w:r>
        <w:t>8. Clima y prevención</w:t>
      </w:r>
    </w:p>
    <w:p>
      <w:r>
        <w:t>Para el MVP se usa un WeatherProvider desacoplado. Open-Meteo permite consultar pronóstico horario por latitud/longitud y variables como precipitación [S8]. Esto evita depender de que exista una API pública oficial en tiempo real. INDOMET seguirá siendo referencia institucional y fuente potencial de datos históricos [S3].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El sistema consulta lluvia prevista para las próximas 1, 3 y 6 horas.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Se almacena un snapshot con timestamp para que el score sea reproducible.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Si el proveedor falla, se conserva el último snapshot válido y se marca como STALE; el reporte sigue funcionando.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En el demo se permite “Modo simulación” para demostrar cómo cambia el mapa ante lluvia intensa sin falsificar que es el pronóstico real.</w:t>
      </w:r>
    </w:p>
    <w:p>
      <w:pPr>
        <w:pStyle w:val="Heading1"/>
      </w:pPr>
      <w:r>
        <w:t>9. Rutas de menor exposición</w:t>
      </w:r>
    </w:p>
    <w:p>
      <w:r>
        <w:t>OSRM ofrece rutas, alternativas, matrices de tiempo/distancia, nearest y trip planning sobre datos de OpenStreetMap [S9]. PuntoAlerta RD usa esas rutas como candidatas y calcula exposición a incidentes activos cercanos a cada geometría.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  <w:tblHeader w:val="true"/>
        </w:trPr>
        <w:tc>
          <w:tcPr>
            <w:tcW w:type="dxa" w:w="10080"/>
            <w:shd w:fill="FDECEC"/>
            <w:tcBorders>
              <w:left w:val="single" w:sz="18" w:color="B42318"/>
            </w:tcBorders>
          </w:tcPr>
          <w:p>
            <w:r>
              <w:rPr>
                <w:rFonts w:ascii="Aptos" w:hAnsi="Aptos"/>
                <w:b/>
                <w:color w:val="B42318"/>
                <w:sz w:val="21"/>
              </w:rPr>
              <w:t>Terminología obligatoria</w:t>
            </w:r>
          </w:p>
          <w:p>
            <w:r>
              <w:rPr>
                <w:rFonts w:ascii="Aptos" w:hAnsi="Aptos"/>
                <w:color w:val="24172D"/>
                <w:sz w:val="18"/>
              </w:rPr>
              <w:t>Usar “ruta de menor exposición a incidentes conocidos” o “alternativa con menor exposición”. No usar “ruta segura” ni “ruta oficial de evacuación”. Las instrucciones oficiales siempre tienen prioridad.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Aptos" w:hAnsi="Aptos"/>
          <w:color w:val="24172D"/>
        </w:rPr>
        <w:t>Ruta ciudadana: compara 2-3 alternativas y muestra tiempo, distancia, puntos de riesgo cercanos y score de exposición.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Ruta de brigada: ordena múltiples puntos de intervención por prioridad y distancia; para MVP puede usar OSRM Trip/Table.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No bloquear una calle basándose únicamente en una foto ciudadana no validada; aplicar una penalización de exposición y mostrar confianza/estado.</w:t>
      </w:r>
    </w:p>
    <w:p>
      <w:pPr>
        <w:pStyle w:val="Heading1"/>
      </w:pPr>
      <w:r>
        <w:t>10. Modelo de datos y ciclo de vida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464"/>
        <w:gridCol w:w="3168"/>
      </w:tblGrid>
      <w:tr>
        <w:trPr>
          <w:tblHeader w:val="true"/>
        </w:trPr>
        <w:tc>
          <w:tcPr>
            <w:tcW w:type="dxa" w:w="336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Entidad</w:t>
            </w:r>
          </w:p>
        </w:tc>
        <w:tc>
          <w:tcPr>
            <w:tcW w:type="dxa" w:w="336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336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Retención / privacidad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Incident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Incidente canónico geolocalizado.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Histórico anonimizado para recurrencia.</w:t>
            </w:r>
          </w:p>
        </w:tc>
      </w:tr>
      <w:tr>
        <w:tc>
          <w:tcPr>
            <w:tcW w:type="dxa" w:w="216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Report</w:t>
            </w:r>
          </w:p>
        </w:tc>
        <w:tc>
          <w:tcPr>
            <w:tcW w:type="dxa" w:w="4464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Aporte individual del ciudadano.</w:t>
            </w:r>
          </w:p>
        </w:tc>
        <w:tc>
          <w:tcPr>
            <w:tcW w:type="dxa" w:w="3168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Minimizar PII; conservar trazabilidad.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Media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Foto/video original.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Privada; no se expone en mapa público.</w:t>
            </w:r>
          </w:p>
        </w:tc>
      </w:tr>
      <w:tr>
        <w:tc>
          <w:tcPr>
            <w:tcW w:type="dxa" w:w="216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AI Analysis</w:t>
            </w:r>
          </w:p>
        </w:tc>
        <w:tc>
          <w:tcPr>
            <w:tcW w:type="dxa" w:w="4464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Clasificación y confianza.</w:t>
            </w:r>
          </w:p>
        </w:tc>
        <w:tc>
          <w:tcPr>
            <w:tcW w:type="dxa" w:w="3168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Versionada por proveedor/modelo/prompt.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Risk Snapshot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Score + factores + clima.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Inmutable para auditoría.</w:t>
            </w:r>
          </w:p>
        </w:tc>
      </w:tr>
      <w:tr>
        <w:tc>
          <w:tcPr>
            <w:tcW w:type="dxa" w:w="216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Weather Snapshot</w:t>
            </w:r>
          </w:p>
        </w:tc>
        <w:tc>
          <w:tcPr>
            <w:tcW w:type="dxa" w:w="4464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Datos meteorológicos usados.</w:t>
            </w:r>
          </w:p>
        </w:tc>
        <w:tc>
          <w:tcPr>
            <w:tcW w:type="dxa" w:w="3168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TTL operativo + histórico mínimo.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Incident Event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Cambios de estado.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Auditoría.</w:t>
            </w:r>
          </w:p>
        </w:tc>
      </w:tr>
    </w:tbl>
    <w:p>
      <w:pPr>
        <w:spacing w:after="0"/>
      </w:pPr>
    </w:p>
    <w:p>
      <w:r>
        <w:t>Estados canónicos: REPORTED → NEEDS_REVIEW/VALIDATED → ASSIGNED → IN_PROGRESS → RESOLVED. Estados terminales alternativos: DISMISSED o DUPLICATE. Todo cambio de estado debe generar un evento de auditoría.</w:t>
      </w:r>
    </w:p>
    <w:p>
      <w:pPr>
        <w:pStyle w:val="Heading1"/>
      </w:pPr>
      <w:r>
        <w:t>11. Gobernanza, privacidad y seguridad</w:t>
      </w:r>
    </w:p>
    <w:p>
      <w:r>
        <w:t>La Ley 172-13 protege datos personales en RD [S6]. El diseño debe aplicar minimización desde el MVP. Las evidencias pueden capturar rostros, placas, viviendas o personas que no consintieron; por ello no deben publicarse directamente.</w:t>
      </w:r>
    </w:p>
    <w:p>
      <w:pPr>
        <w:pStyle w:val="ListBullet"/>
        <w:spacing w:after="40"/>
      </w:pPr>
      <w:r>
        <w:rPr>
          <w:rFonts w:ascii="Aptos" w:hAnsi="Aptos"/>
          <w:b/>
          <w:color w:val="24172D"/>
        </w:rPr>
        <w:t xml:space="preserve">Datos mínimos: </w:t>
      </w:r>
      <w:r>
        <w:rPr>
          <w:rFonts w:ascii="Aptos" w:hAnsi="Aptos"/>
          <w:color w:val="24172D"/>
        </w:rPr>
        <w:t>no exigir nombre, cédula, teléfono ni correo para reportar.</w:t>
      </w:r>
    </w:p>
    <w:p>
      <w:pPr>
        <w:pStyle w:val="ListBullet"/>
        <w:spacing w:after="40"/>
      </w:pPr>
      <w:r>
        <w:rPr>
          <w:rFonts w:ascii="Aptos" w:hAnsi="Aptos"/>
          <w:b/>
          <w:color w:val="24172D"/>
        </w:rPr>
        <w:t xml:space="preserve">Sesión anónima: </w:t>
      </w:r>
      <w:r>
        <w:rPr>
          <w:rFonts w:ascii="Aptos" w:hAnsi="Aptos"/>
          <w:color w:val="24172D"/>
        </w:rPr>
        <w:t>identificador aleatorio local para seguimiento básico; no se usa como identidad legal.</w:t>
      </w:r>
    </w:p>
    <w:p>
      <w:pPr>
        <w:pStyle w:val="ListBullet"/>
        <w:spacing w:after="40"/>
      </w:pPr>
      <w:r>
        <w:rPr>
          <w:rFonts w:ascii="Aptos" w:hAnsi="Aptos"/>
          <w:b/>
          <w:color w:val="24172D"/>
        </w:rPr>
        <w:t xml:space="preserve">Media privada: </w:t>
      </w:r>
      <w:r>
        <w:rPr>
          <w:rFonts w:ascii="Aptos" w:hAnsi="Aptos"/>
          <w:color w:val="24172D"/>
        </w:rPr>
        <w:t>bucket privado; acceso administrativo mediante URL firmada y expiración corta.</w:t>
      </w:r>
    </w:p>
    <w:p>
      <w:pPr>
        <w:pStyle w:val="ListBullet"/>
        <w:spacing w:after="40"/>
      </w:pPr>
      <w:r>
        <w:rPr>
          <w:rFonts w:ascii="Aptos" w:hAnsi="Aptos"/>
          <w:b/>
          <w:color w:val="24172D"/>
        </w:rPr>
        <w:t xml:space="preserve">Mapa público: </w:t>
      </w:r>
      <w:r>
        <w:rPr>
          <w:rFonts w:ascii="Aptos" w:hAnsi="Aptos"/>
          <w:color w:val="24172D"/>
        </w:rPr>
        <w:t>mostrar categoría, zona aproximada, riesgo y estado, no imagen original ni coordenada exacta si existe riesgo de privacidad.</w:t>
      </w:r>
    </w:p>
    <w:p>
      <w:pPr>
        <w:pStyle w:val="ListBullet"/>
        <w:spacing w:after="40"/>
      </w:pPr>
      <w:r>
        <w:rPr>
          <w:rFonts w:ascii="Aptos" w:hAnsi="Aptos"/>
          <w:b/>
          <w:color w:val="24172D"/>
        </w:rPr>
        <w:t xml:space="preserve">Administración: </w:t>
      </w:r>
      <w:r>
        <w:rPr>
          <w:rFonts w:ascii="Aptos" w:hAnsi="Aptos"/>
          <w:color w:val="24172D"/>
        </w:rPr>
        <w:t>autenticación, roles y Row Level Security; principio de mínimo privilegio [S10].</w:t>
      </w:r>
    </w:p>
    <w:p>
      <w:pPr>
        <w:pStyle w:val="ListBullet"/>
        <w:spacing w:after="40"/>
      </w:pPr>
      <w:r>
        <w:rPr>
          <w:rFonts w:ascii="Aptos" w:hAnsi="Aptos"/>
          <w:b/>
          <w:color w:val="24172D"/>
        </w:rPr>
        <w:t xml:space="preserve">Seguridad: </w:t>
      </w:r>
      <w:r>
        <w:rPr>
          <w:rFonts w:ascii="Aptos" w:hAnsi="Aptos"/>
          <w:color w:val="24172D"/>
        </w:rPr>
        <w:t>usar OWASP ASVS 5.0.0 como lista de verificación base [S5].</w:t>
      </w:r>
    </w:p>
    <w:p>
      <w:pPr>
        <w:pStyle w:val="ListBullet"/>
        <w:spacing w:after="40"/>
      </w:pPr>
      <w:r>
        <w:rPr>
          <w:rFonts w:ascii="Aptos" w:hAnsi="Aptos"/>
          <w:b/>
          <w:color w:val="24172D"/>
        </w:rPr>
        <w:t xml:space="preserve">Sanciones: </w:t>
      </w:r>
      <w:r>
        <w:rPr>
          <w:rFonts w:ascii="Aptos" w:hAnsi="Aptos"/>
          <w:color w:val="24172D"/>
        </w:rPr>
        <w:t>PuntoAlerta RD no determina culpabilidad ni automatiza multas.</w:t>
      </w:r>
    </w:p>
    <w:p>
      <w:pPr>
        <w:pStyle w:val="Heading1"/>
      </w:pPr>
      <w:r>
        <w:t>12. Identidad visual y accesibilidad</w:t>
      </w:r>
    </w:p>
    <w:p>
      <w:r>
        <w:t>La paleta usa blanco, morado y dorado porque fueron solicitados para la identidad del proyecto. Se diseñó deliberadamente una combinación propia: no debe copiar tonos exactos, estrella única, proporciones, tipografía ni composición de un partido u organización política. El símbolo recomendado es una constelación de varias señales/estrellas conectadas.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584"/>
        <w:gridCol w:w="3528"/>
        <w:gridCol w:w="2592"/>
      </w:tblGrid>
      <w:tr>
        <w:trPr>
          <w:tblHeader w:val="true"/>
        </w:trPr>
        <w:tc>
          <w:tcPr>
            <w:tcW w:type="dxa" w:w="252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Token</w:t>
            </w:r>
          </w:p>
        </w:tc>
        <w:tc>
          <w:tcPr>
            <w:tcW w:type="dxa" w:w="252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Color</w:t>
            </w:r>
          </w:p>
        </w:tc>
        <w:tc>
          <w:tcPr>
            <w:tcW w:type="dxa" w:w="252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  <w:tc>
          <w:tcPr>
            <w:tcW w:type="dxa" w:w="252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Contraste recomendado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Purple 900</w:t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#3B1558</w:t>
            </w:r>
          </w:p>
        </w:tc>
        <w:tc>
          <w:tcPr>
            <w:tcW w:type="dxa" w:w="3528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Headers, fondos fuertes.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Blanco: 14.64:1</w:t>
            </w:r>
          </w:p>
        </w:tc>
      </w:tr>
      <w:tr>
        <w:tc>
          <w:tcPr>
            <w:tcW w:type="dxa" w:w="180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Purple 700</w:t>
            </w:r>
          </w:p>
        </w:tc>
        <w:tc>
          <w:tcPr>
            <w:tcW w:type="dxa" w:w="1584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#532275</w:t>
            </w:r>
          </w:p>
        </w:tc>
        <w:tc>
          <w:tcPr>
            <w:tcW w:type="dxa" w:w="3528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Botón primario, links, foco.</w:t>
            </w:r>
          </w:p>
        </w:tc>
        <w:tc>
          <w:tcPr>
            <w:tcW w:type="dxa" w:w="2592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Blanco: 11.33:1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Purple 500</w:t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#7542A6</w:t>
            </w:r>
          </w:p>
        </w:tc>
        <w:tc>
          <w:tcPr>
            <w:tcW w:type="dxa" w:w="3528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Acentos/hover grande.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Blanco: 6.80:1</w:t>
            </w:r>
          </w:p>
        </w:tc>
      </w:tr>
      <w:tr>
        <w:tc>
          <w:tcPr>
            <w:tcW w:type="dxa" w:w="180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Gold 500</w:t>
            </w:r>
          </w:p>
        </w:tc>
        <w:tc>
          <w:tcPr>
            <w:tcW w:type="dxa" w:w="1584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#F4C542</w:t>
            </w:r>
          </w:p>
        </w:tc>
        <w:tc>
          <w:tcPr>
            <w:tcW w:type="dxa" w:w="3528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Highlights, estrellas, badges.</w:t>
            </w:r>
          </w:p>
        </w:tc>
        <w:tc>
          <w:tcPr>
            <w:tcW w:type="dxa" w:w="2592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Ink: 10.45:1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Gold 700</w:t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#8C5A00</w:t>
            </w:r>
          </w:p>
        </w:tc>
        <w:tc>
          <w:tcPr>
            <w:tcW w:type="dxa" w:w="3528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Texto/acento sobre blanco.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Blanco: 5.87:1</w:t>
            </w:r>
          </w:p>
        </w:tc>
      </w:tr>
      <w:tr>
        <w:tc>
          <w:tcPr>
            <w:tcW w:type="dxa" w:w="180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Ink</w:t>
            </w:r>
          </w:p>
        </w:tc>
        <w:tc>
          <w:tcPr>
            <w:tcW w:type="dxa" w:w="1584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#24172D</w:t>
            </w:r>
          </w:p>
        </w:tc>
        <w:tc>
          <w:tcPr>
            <w:tcW w:type="dxa" w:w="3528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Texto principal.</w:t>
            </w:r>
          </w:p>
        </w:tc>
        <w:tc>
          <w:tcPr>
            <w:tcW w:type="dxa" w:w="2592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Blanco: 17.00:1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Canvas</w:t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#FAF8FC</w:t>
            </w:r>
          </w:p>
        </w:tc>
        <w:tc>
          <w:tcPr>
            <w:tcW w:type="dxa" w:w="3528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Fondo de aplicación.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Ink: 16.11:1</w:t>
            </w:r>
          </w:p>
        </w:tc>
      </w:tr>
    </w:tbl>
    <w:p>
      <w:pPr>
        <w:spacing w:after="0"/>
      </w:pPr>
    </w:p>
    <w:p>
      <w:r>
        <w:t>El estándar objetivo es WCAG 2.2 AA [S4]. Texto normal requiere al menos 4.5:1 y texto grande 3:1. Color no puede ser el único mecanismo para transmitir riesgo.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Tipografía: Inter o system sans; cuerpo mínimo 16 px en móvil.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Espaciado base: 4 px; componentes en múltiplos de 4/8 px.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Radio: 14 px para cards, 12 px inputs, 999 px badges/pills.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Foco: outline 3 px Purple 500 con offset de 2 px.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Estrellas: decoración de fondo o “señales conectadas”; nunca usar una sola estrella amarilla central como logotipo.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Riesgo: usar icono + etiqueta + valor; patrones/contornos para mapas cuando sea necesario.</w:t>
      </w:r>
    </w:p>
    <w:p>
      <w:pPr>
        <w:pStyle w:val="Heading1"/>
      </w:pPr>
      <w:r>
        <w:t>13. Métricas de éxito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168"/>
        <w:gridCol w:w="3744"/>
      </w:tblGrid>
      <w:tr>
        <w:trPr>
          <w:tblHeader w:val="true"/>
        </w:trPr>
        <w:tc>
          <w:tcPr>
            <w:tcW w:type="dxa" w:w="336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336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MVP / demo</w:t>
            </w:r>
          </w:p>
        </w:tc>
        <w:tc>
          <w:tcPr>
            <w:tcW w:type="dxa" w:w="336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Futuro real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Tiempo para reportar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≤ 30 s en prueba manual.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Mediana &lt; 25 s.</w:t>
            </w:r>
          </w:p>
        </w:tc>
      </w:tr>
      <w:tr>
        <w:tc>
          <w:tcPr>
            <w:tcW w:type="dxa" w:w="288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Clasificación IA</w:t>
            </w:r>
          </w:p>
        </w:tc>
        <w:tc>
          <w:tcPr>
            <w:tcW w:type="dxa" w:w="3168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Schema válido ≥ 95% en dataset demo.</w:t>
            </w:r>
          </w:p>
        </w:tc>
        <w:tc>
          <w:tcPr>
            <w:tcW w:type="dxa" w:w="3744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Precisión por categoría con ground truth.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Duplicados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Detectar escenarios sembrados.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Precision/recall de clustering.</w:t>
            </w:r>
          </w:p>
        </w:tc>
      </w:tr>
      <w:tr>
        <w:tc>
          <w:tcPr>
            <w:tcW w:type="dxa" w:w="288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Risk Score</w:t>
            </w:r>
          </w:p>
        </w:tc>
        <w:tc>
          <w:tcPr>
            <w:tcW w:type="dxa" w:w="3168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100% explicable y reproducible.</w:t>
            </w:r>
          </w:p>
        </w:tc>
        <w:tc>
          <w:tcPr>
            <w:tcW w:type="dxa" w:w="3744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Correlación con eventos observados.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Mapa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Carga y filtros sin error.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P95 &lt; 2 s con volumen real.</w:t>
            </w:r>
          </w:p>
        </w:tc>
      </w:tr>
      <w:tr>
        <w:tc>
          <w:tcPr>
            <w:tcW w:type="dxa" w:w="288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Accesibilidad</w:t>
            </w:r>
          </w:p>
        </w:tc>
        <w:tc>
          <w:tcPr>
            <w:tcW w:type="dxa" w:w="3168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Sin violaciones críticas axe.</w:t>
            </w:r>
          </w:p>
        </w:tc>
        <w:tc>
          <w:tcPr>
            <w:tcW w:type="dxa" w:w="3744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WCAG 2.2 AA auditada.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Operaciones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Generar top prioridades y ruta.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Tiempo/combustible ahorrado.</w:t>
            </w:r>
          </w:p>
        </w:tc>
      </w:tr>
    </w:tbl>
    <w:p>
      <w:pPr>
        <w:spacing w:after="0"/>
      </w:pPr>
    </w:p>
    <w:p>
      <w:pPr>
        <w:pStyle w:val="Heading1"/>
      </w:pPr>
      <w:r>
        <w:t>14. Roadmap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504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504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Alcance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MVP hackathon</w:t>
            </w:r>
          </w:p>
        </w:tc>
        <w:tc>
          <w:tcPr>
            <w:tcW w:type="dxa" w:w="7344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Foto, GPS, IA, mapa, score explicable, clima, dashboard, rutas demo.</w:t>
            </w:r>
          </w:p>
        </w:tc>
      </w:tr>
      <w:tr>
        <w:tc>
          <w:tcPr>
            <w:tcW w:type="dxa" w:w="2448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Piloto</w:t>
            </w:r>
          </w:p>
        </w:tc>
        <w:tc>
          <w:tcPr>
            <w:tcW w:type="dxa" w:w="7344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Moderación, notificaciones, integración municipal, datos reales de una zona.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V1</w:t>
            </w:r>
          </w:p>
        </w:tc>
        <w:tc>
          <w:tcPr>
            <w:tcW w:type="dxa" w:w="7344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Routing robusto, historial, métricas operativas, privacidad de media avanzada.</w:t>
            </w:r>
          </w:p>
        </w:tc>
      </w:tr>
      <w:tr>
        <w:tc>
          <w:tcPr>
            <w:tcW w:type="dxa" w:w="2448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V2</w:t>
            </w:r>
          </w:p>
        </w:tc>
        <w:tc>
          <w:tcPr>
            <w:tcW w:type="dxa" w:w="7344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Integración oficial de alertas/datos, modelos predictivos validados, múltiples municipios.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V3</w:t>
            </w:r>
          </w:p>
        </w:tc>
        <w:tc>
          <w:tcPr>
            <w:tcW w:type="dxa" w:w="7344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Plataforma nacional interoperable para distintos riesgos urbanos/ambientales.</w:t>
            </w:r>
          </w:p>
        </w:tc>
      </w:tr>
    </w:tbl>
    <w:p>
      <w:pPr>
        <w:spacing w:after="0"/>
      </w:pPr>
    </w:p>
    <w:p>
      <w:pPr>
        <w:pStyle w:val="Heading1"/>
      </w:pPr>
      <w:r>
        <w:t>15. Supuestos, límites y riesgos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rPr>
          <w:tblHeader w:val="true"/>
        </w:trPr>
        <w:tc>
          <w:tcPr>
            <w:tcW w:type="dxa" w:w="504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504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Decisión / mitigación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Reportes falsos o equivocados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Tratar como señal; confianza, moderación, duplicados y rate limit.</w:t>
            </w:r>
          </w:p>
        </w:tc>
      </w:tr>
      <w:tr>
        <w:tc>
          <w:tcPr>
            <w:tcW w:type="dxa" w:w="3168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IA clasifica mal</w:t>
            </w:r>
          </w:p>
        </w:tc>
        <w:tc>
          <w:tcPr>
            <w:tcW w:type="dxa" w:w="6624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Usuario confirma; operador corrige; guardar modelo/prompt/confianza.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Pronóstico no disponible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Fallback al último snapshot + marca STALE; el sistema no se cae.</w:t>
            </w:r>
          </w:p>
        </w:tc>
      </w:tr>
      <w:tr>
        <w:tc>
          <w:tcPr>
            <w:tcW w:type="dxa" w:w="3168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Mapa induce falsa seguridad</w:t>
            </w:r>
          </w:p>
        </w:tc>
        <w:tc>
          <w:tcPr>
            <w:tcW w:type="dxa" w:w="6624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No usar “seguro”; mostrar cobertura limitada y fecha de actualización.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Privacidad de imagen</w:t>
            </w:r>
          </w:p>
        </w:tc>
        <w:tc>
          <w:tcPr>
            <w:tcW w:type="dxa" w:w="6624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Media privada; no publicar rostros/placas; sanitización futura.</w:t>
            </w:r>
          </w:p>
        </w:tc>
      </w:tr>
      <w:tr>
        <w:tc>
          <w:tcPr>
            <w:tcW w:type="dxa" w:w="3168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Scope excesivo</w:t>
            </w:r>
          </w:p>
        </w:tc>
        <w:tc>
          <w:tcPr>
            <w:tcW w:type="dxa" w:w="6624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P0 cerrado; video, notificaciones y automatización institucional son P1/P2.</w:t>
            </w:r>
          </w:p>
        </w:tc>
      </w:tr>
    </w:tbl>
    <w:p>
      <w:pPr>
        <w:spacing w:after="0"/>
      </w:pPr>
    </w:p>
    <w:p>
      <w:pPr>
        <w:pStyle w:val="Heading1"/>
      </w:pPr>
      <w:r>
        <w:t>Referencias validadas</w:t>
      </w:r>
    </w:p>
    <w:p>
      <w:r>
        <w:rPr>
          <w:rFonts w:ascii="Aptos" w:hAnsi="Aptos"/>
          <w:b/>
          <w:color w:val="532275"/>
          <w:sz w:val="18"/>
        </w:rPr>
        <w:t xml:space="preserve">[S1] Ministerio de Medio Ambiente y Recursos Naturales — </w:t>
      </w:r>
      <w:r>
        <w:rPr>
          <w:rFonts w:ascii="Aptos" w:hAnsi="Aptos"/>
          <w:color w:val="24172D"/>
          <w:sz w:val="18"/>
        </w:rPr>
        <w:t>Línea Verde RD: aplicación para denuncias ambientales; admite fotos y videos y permite seguimiento. Publicado 27 abril 2024.</w:t>
      </w:r>
    </w:p>
    <w:p>
      <w:r>
        <w:rPr>
          <w:rFonts w:ascii="Aptos" w:hAnsi="Aptos"/>
          <w:b/>
          <w:color w:val="532275"/>
          <w:sz w:val="18"/>
        </w:rPr>
        <w:t xml:space="preserve">[S2] Presidencia de la República Dominicana — </w:t>
      </w:r>
      <w:r>
        <w:rPr>
          <w:rFonts w:ascii="Aptos" w:hAnsi="Aptos"/>
          <w:color w:val="24172D"/>
          <w:sz w:val="18"/>
        </w:rPr>
        <w:t>Saneamiento de cañadas e inversión en drenaje pluvial; 50 de 75 puntos críticos reforzados; piloto de semáforos pluviales e integración con videovigilancia 9-1-1. Publicado 27 octubre 2025.</w:t>
      </w:r>
    </w:p>
    <w:p>
      <w:r>
        <w:rPr>
          <w:rFonts w:ascii="Aptos" w:hAnsi="Aptos"/>
          <w:b/>
          <w:color w:val="532275"/>
          <w:sz w:val="18"/>
        </w:rPr>
        <w:t xml:space="preserve">[S3] Portal de Datos Abiertos / INDOMET — </w:t>
      </w:r>
      <w:r>
        <w:rPr>
          <w:rFonts w:ascii="Aptos" w:hAnsi="Aptos"/>
          <w:color w:val="24172D"/>
          <w:sz w:val="18"/>
        </w:rPr>
        <w:t>Acumulados de precipitación 2018-2025; última actualización reportada 19 enero 2026.</w:t>
      </w:r>
    </w:p>
    <w:p>
      <w:r>
        <w:rPr>
          <w:rFonts w:ascii="Aptos" w:hAnsi="Aptos"/>
          <w:b/>
          <w:color w:val="532275"/>
          <w:sz w:val="18"/>
        </w:rPr>
        <w:t xml:space="preserve">[S4] W3C — </w:t>
      </w:r>
      <w:r>
        <w:rPr>
          <w:rFonts w:ascii="Aptos" w:hAnsi="Aptos"/>
          <w:color w:val="24172D"/>
          <w:sz w:val="18"/>
        </w:rPr>
        <w:t>WCAG 2.2 y criterio 1.4.3: contraste mínimo 4.5:1 para texto normal y 3:1 para texto grande.</w:t>
      </w:r>
    </w:p>
    <w:p>
      <w:r>
        <w:rPr>
          <w:rFonts w:ascii="Aptos" w:hAnsi="Aptos"/>
          <w:b/>
          <w:color w:val="532275"/>
          <w:sz w:val="18"/>
        </w:rPr>
        <w:t xml:space="preserve">[S5] OWASP — </w:t>
      </w:r>
      <w:r>
        <w:rPr>
          <w:rFonts w:ascii="Aptos" w:hAnsi="Aptos"/>
          <w:color w:val="24172D"/>
          <w:sz w:val="18"/>
        </w:rPr>
        <w:t>Application Security Verification Standard (ASVS) 5.0.0 como base de verificación de seguridad de aplicaciones.</w:t>
      </w:r>
    </w:p>
    <w:p>
      <w:r>
        <w:rPr>
          <w:rFonts w:ascii="Aptos" w:hAnsi="Aptos"/>
          <w:b/>
          <w:color w:val="532275"/>
          <w:sz w:val="18"/>
        </w:rPr>
        <w:t xml:space="preserve">[S6] INDOTEL — </w:t>
      </w:r>
      <w:r>
        <w:rPr>
          <w:rFonts w:ascii="Aptos" w:hAnsi="Aptos"/>
          <w:color w:val="24172D"/>
          <w:sz w:val="18"/>
        </w:rPr>
        <w:t>Ley 172-13 sobre protección integral de datos personales en República Dominicana.</w:t>
      </w:r>
    </w:p>
    <w:p>
      <w:r>
        <w:rPr>
          <w:rFonts w:ascii="Aptos" w:hAnsi="Aptos"/>
          <w:b/>
          <w:color w:val="532275"/>
          <w:sz w:val="18"/>
        </w:rPr>
        <w:t xml:space="preserve">[S7] Ministerio de Medio Ambiente — </w:t>
      </w:r>
      <w:r>
        <w:rPr>
          <w:rFonts w:ascii="Aptos" w:hAnsi="Aptos"/>
          <w:color w:val="24172D"/>
          <w:sz w:val="18"/>
        </w:rPr>
        <w:t>Ley 64-00 y marco legal ambiental; Ley 225-20 y su reglamento sobre gestión de residuos sólidos.</w:t>
      </w:r>
    </w:p>
    <w:p>
      <w:r>
        <w:rPr>
          <w:rFonts w:ascii="Aptos" w:hAnsi="Aptos"/>
          <w:b/>
          <w:color w:val="532275"/>
          <w:sz w:val="18"/>
        </w:rPr>
        <w:t xml:space="preserve">[S8] Open-Meteo — </w:t>
      </w:r>
      <w:r>
        <w:rPr>
          <w:rFonts w:ascii="Aptos" w:hAnsi="Aptos"/>
          <w:color w:val="24172D"/>
          <w:sz w:val="18"/>
        </w:rPr>
        <w:t>API de pronóstico con coordenadas y variables horarias, incluida precipitación.</w:t>
      </w:r>
    </w:p>
    <w:p>
      <w:r>
        <w:rPr>
          <w:rFonts w:ascii="Aptos" w:hAnsi="Aptos"/>
          <w:b/>
          <w:color w:val="532275"/>
          <w:sz w:val="18"/>
        </w:rPr>
        <w:t xml:space="preserve">[S9] Project OSRM — </w:t>
      </w:r>
      <w:r>
        <w:rPr>
          <w:rFonts w:ascii="Aptos" w:hAnsi="Aptos"/>
          <w:color w:val="24172D"/>
          <w:sz w:val="18"/>
        </w:rPr>
        <w:t>Servicios Route, Table, Nearest y Trip para rutas y matrices de tiempo/distancia sobre OpenStreetMap.</w:t>
      </w:r>
    </w:p>
    <w:p>
      <w:r>
        <w:rPr>
          <w:rFonts w:ascii="Aptos" w:hAnsi="Aptos"/>
          <w:b/>
          <w:color w:val="532275"/>
          <w:sz w:val="18"/>
        </w:rPr>
        <w:t xml:space="preserve">[S10] Supabase — </w:t>
      </w:r>
      <w:r>
        <w:rPr>
          <w:rFonts w:ascii="Aptos" w:hAnsi="Aptos"/>
          <w:color w:val="24172D"/>
          <w:sz w:val="18"/>
        </w:rPr>
        <w:t>PostGIS disponible para consultas geoespaciales e indexación; RLS recomendado para acceso a datos.</w:t>
      </w:r>
    </w:p>
    <w:p>
      <w:r>
        <w:rPr>
          <w:rFonts w:ascii="Aptos" w:hAnsi="Aptos"/>
          <w:b/>
          <w:color w:val="532275"/>
          <w:sz w:val="18"/>
        </w:rPr>
        <w:t xml:space="preserve">[S11] Next.js / Node.js — </w:t>
      </w:r>
      <w:r>
        <w:rPr>
          <w:rFonts w:ascii="Aptos" w:hAnsi="Aptos"/>
          <w:color w:val="24172D"/>
          <w:sz w:val="18"/>
        </w:rPr>
        <w:t>Al 27 agosto 2026: Next.js 16.3.3 Active LTS y Node.js 24.20.0 LTS.</w:t>
      </w:r>
    </w:p>
    <w:p>
      <w:r>
        <w:rPr>
          <w:rFonts w:ascii="Aptos" w:hAnsi="Aptos"/>
          <w:b/>
          <w:color w:val="532275"/>
          <w:sz w:val="18"/>
        </w:rPr>
        <w:t xml:space="preserve">[S12] MapLibre — </w:t>
      </w:r>
      <w:r>
        <w:rPr>
          <w:rFonts w:ascii="Aptos" w:hAnsi="Aptos"/>
          <w:color w:val="24172D"/>
          <w:sz w:val="18"/>
        </w:rPr>
        <w:t>MapLibre GL JS v6 como librería TypeScript/ESM para mapas interactivos.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979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ptos" w:hAnsi="Aptos"/>
        <w:color w:val="625A68"/>
        <w:sz w:val="16"/>
      </w:rPr>
      <w:t xml:space="preserve">PuntoAlerta RD   •   Documento de trabajo   •   27 agosto 2026   •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ptos" w:hAnsi="Aptos"/>
        <w:b/>
        <w:color w:val="532275"/>
        <w:sz w:val="17"/>
      </w:rPr>
      <w:t>PuntoAlerta RD  •  Concepto y estándares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17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3B155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53227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8C5A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3B155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625A6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259"/>
    </w:pPr>
    <w:rPr>
      <w:rFonts w:ascii="Liberation Mono" w:hAnsi="Liberation Mono"/>
      <w:color w:val="24172D"/>
      <w:sz w:val="17"/>
    </w:rPr>
  </w:style>
  <w:style w:type="paragraph" w:customStyle="1" w:styleId="SmallNote">
    <w:name w:val="Small Note"/>
    <w:pPr>
      <w:spacing w:after="80"/>
    </w:pPr>
    <w:rPr>
      <w:rFonts w:ascii="Aptos" w:hAnsi="Aptos"/>
      <w:color w:val="625A6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