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2.png" ContentType="image/png"/>
  <Override PartName="/word/media/rId31.png" ContentType="image/png"/>
  <Override PartName="/word/media/rId30.png" ContentType="image/png"/>
  <Override PartName="/word/media/rId33.png" ContentType="image/png"/>
  <Override PartName="/word/media/rId28.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Bird</w:t>
      </w:r>
      <w:r>
        <w:t xml:space="preserve"> </w:t>
      </w:r>
      <w:r>
        <w:t xml:space="preserve">museum</w:t>
      </w:r>
      <w:r>
        <w:t xml:space="preserve"> </w:t>
      </w:r>
      <w:r>
        <w:t xml:space="preserve">data</w:t>
      </w:r>
      <w:r>
        <w:t xml:space="preserve"> </w:t>
      </w:r>
      <w:r>
        <w:t xml:space="preserve">(BMD)</w:t>
      </w:r>
    </w:p>
    <w:p>
      <w:pPr>
        <w:pStyle w:val="Date"/>
      </w:pPr>
      <w:r>
        <w:t xml:space="preserve">4/3/2017</w:t>
      </w:r>
    </w:p>
    <w:p>
      <w:pPr>
        <w:pStyle w:val="Heading1"/>
      </w:pPr>
      <w:bookmarkStart w:id="21" w:name="map-of-genetic-diversity-of-aves"/>
      <w:bookmarkEnd w:id="21"/>
      <w:r>
        <w:t xml:space="preserve">Map of genetic diversity of Aves</w:t>
      </w:r>
    </w:p>
    <w:p>
      <w:pPr>
        <w:pStyle w:val="FirstParagraph"/>
      </w:pPr>
      <w:r>
        <w:t xml:space="preserve">We need georeferenced DNA sequences to map the genetic diversity of any taxa. The lack of a central repository with this type of data propels us to implement multiple approaches to retrieve georeferenced DNA sequences. First, when available, we obtain georeferences from genetic repositories (e.g. GenBank,</w:t>
      </w:r>
      <w:r>
        <w:t xml:space="preserve"> </w:t>
      </w:r>
      <w:hyperlink r:id="rId22">
        <w:r>
          <w:rPr>
            <w:rStyle w:val="Hyperlink"/>
          </w:rPr>
          <w:t xml:space="preserve">https://www.ncbi.nlm.nih.gov/genbank/</w:t>
        </w:r>
      </w:hyperlink>
      <w:r>
        <w:t xml:space="preserve">). Second, if coordinates are not available, we use GeoNames (</w:t>
      </w:r>
      <w:hyperlink r:id="rId23">
        <w:r>
          <w:rPr>
            <w:rStyle w:val="Hyperlink"/>
          </w:rPr>
          <w:t xml:space="preserve">http://www.geonames.org/</w:t>
        </w:r>
      </w:hyperlink>
      <w:r>
        <w:t xml:space="preserve">) to estimate coordinates from locality descriptions in genetic repositories. Third, if neither coordinates nor localities are available, we use non-geographical information associated to the sequences (e.g. voucher number) to cross-reference with other databases (e.g. museums and GBIF). Here I describe the avian mitochondrial DNA dataset, and how to obtain coordinates using voucher information.</w:t>
      </w:r>
    </w:p>
    <w:p>
      <w:pPr>
        <w:pStyle w:val="BodyText"/>
      </w:pPr>
      <w:r>
        <w:t xml:space="preserve">We obtained all avian mitochondrial sequences in GenBank (n = 181306). Then, we used binary trees (see below) to subset (nested nodes) the dataset by the type of information available. In each node the number of sequences and the percentage of the total database of each subset are shown. For example, the GenBank dataset can be divided in sequences with and without voucher information, for Aves, 54% (98646 sequences) of the sequences have voucher information. The GenBank binary tree shows that 38% (69420) of the avian dataset have unique vouchers (green node). This subset can be used to retrieve geographical information from open access biodiversity data (e.g. GBIF).</w:t>
      </w:r>
    </w:p>
    <w:p>
      <w:pPr>
        <w:pStyle w:val="Heading2"/>
      </w:pPr>
      <w:bookmarkStart w:id="24" w:name="genbank-binary-tree"/>
      <w:bookmarkEnd w:id="24"/>
      <w:r>
        <w:t xml:space="preserve">GenBank binary tree</w:t>
      </w:r>
    </w:p>
    <w:p>
      <w:pPr>
        <w:pStyle w:val="FirstParagraph"/>
      </w:pPr>
      <w:r>
        <w:drawing>
          <wp:inline>
            <wp:extent cx="5334000" cy="4267200"/>
            <wp:effectExtent b="0" l="0" r="0" t="0"/>
            <wp:docPr descr="" id="1" name="Picture"/>
            <a:graphic>
              <a:graphicData uri="http://schemas.openxmlformats.org/drawingml/2006/picture">
                <pic:pic>
                  <pic:nvPicPr>
                    <pic:cNvPr descr="report_BMD_files/figure-docx/flowchart.genbank-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Similarly to the GenBank binary tree, the GBIF binary tree (see below) shows the hierarchy of each one of the nodes (subsets) and the percentage relative to the total dataset. The GBIF binary tree describes the amount of sequences for which is possible to obtain geographical information from GBIF, this using the voucher information as a link between GenBank and GBIF. To obtain the geographical information we used the package rgbif in R. After using the three approaches described in the first paragraph, we show that 25898 (14%, red node) sequences have voucher information, but lack geographical information (e.i. coordinates or localities). For this subset (red node) the geographical information could be retrieved using museums' databases.</w:t>
      </w:r>
    </w:p>
    <w:p>
      <w:pPr>
        <w:pStyle w:val="Heading2"/>
      </w:pPr>
      <w:bookmarkStart w:id="26" w:name="gbif-binary-tree"/>
      <w:bookmarkEnd w:id="26"/>
      <w:r>
        <w:t xml:space="preserve">GBIF binary tree</w:t>
      </w:r>
    </w:p>
    <w:p>
      <w:pPr>
        <w:pStyle w:val="FirstParagraph"/>
      </w:pPr>
      <w:r>
        <w:drawing>
          <wp:inline>
            <wp:extent cx="5334000" cy="4267200"/>
            <wp:effectExtent b="0" l="0" r="0" t="0"/>
            <wp:docPr descr="" id="1" name="Picture"/>
            <a:graphic>
              <a:graphicData uri="http://schemas.openxmlformats.org/drawingml/2006/picture">
                <pic:pic>
                  <pic:nvPicPr>
                    <pic:cNvPr descr="report_BMD_files/figure-docx/flowchart.rgbif-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 Museums' data</w:t>
      </w:r>
    </w:p>
    <w:p>
      <w:pPr>
        <w:pStyle w:val="BodyText"/>
      </w:pPr>
      <w:r>
        <w:t xml:space="preserve">We used the voucher information available in GenBank to associate each one of the sequences with their respective museum (see barplot below). Subsequently, for each museum we quantified: 1) sequences with coordinates in GenBank (lighter blue), 2) sequences with coordinates in GBIF (lighter orange), 3) sequences with locality description in GenBank (darker blue), 4) sequences with locality description in GBIF (darker orange), and 5) sequences with voucher, but lacking geographical information (red). Each bar represents a museum (abbreviation).</w:t>
      </w:r>
      <w:r>
        <w:t xml:space="preserve"> </w:t>
      </w:r>
      <w:r>
        <w:t xml:space="preserve"> </w:t>
      </w:r>
    </w:p>
    <w:p>
      <w:pPr>
        <w:pStyle w:val="BodyText"/>
      </w:pPr>
      <w:r>
        <w:drawing>
          <wp:inline>
            <wp:extent cx="5334000" cy="4267200"/>
            <wp:effectExtent b="0" l="0" r="0" t="0"/>
            <wp:docPr descr="" id="1" name="Picture"/>
            <a:graphic>
              <a:graphicData uri="http://schemas.openxmlformats.org/drawingml/2006/picture">
                <pic:pic>
                  <pic:nvPicPr>
                    <pic:cNvPr descr="report_BMD_files/figure-docx/barplot.museum-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Museum full 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Full.name</w:t>
            </w:r>
          </w:p>
        </w:tc>
      </w:tr>
      <w:tr>
        <w:tc>
          <w:p>
            <w:pPr>
              <w:pStyle w:val="Compact"/>
              <w:jc w:val="left"/>
            </w:pPr>
            <w:r>
              <w:t xml:space="preserve">LSU</w:t>
            </w:r>
          </w:p>
        </w:tc>
        <w:tc>
          <w:p>
            <w:pPr>
              <w:pStyle w:val="Compact"/>
              <w:jc w:val="left"/>
            </w:pPr>
            <w:r>
              <w:t xml:space="preserve">Louisiana State University Museum of Natural Science</w:t>
            </w:r>
          </w:p>
        </w:tc>
      </w:tr>
      <w:tr>
        <w:tc>
          <w:p>
            <w:pPr>
              <w:pStyle w:val="Compact"/>
              <w:jc w:val="left"/>
            </w:pPr>
            <w:r>
              <w:t xml:space="preserve">USNM</w:t>
            </w:r>
          </w:p>
        </w:tc>
        <w:tc>
          <w:p>
            <w:pPr>
              <w:pStyle w:val="Compact"/>
              <w:jc w:val="left"/>
            </w:pPr>
            <w:r>
              <w:t xml:space="preserve">Smithsonian Institution National Museum of Natural History</w:t>
            </w:r>
          </w:p>
        </w:tc>
      </w:tr>
      <w:tr>
        <w:tc>
          <w:p>
            <w:pPr>
              <w:pStyle w:val="Compact"/>
              <w:jc w:val="left"/>
            </w:pPr>
            <w:r>
              <w:t xml:space="preserve">UWBM</w:t>
            </w:r>
          </w:p>
        </w:tc>
        <w:tc>
          <w:p>
            <w:pPr>
              <w:pStyle w:val="Compact"/>
              <w:jc w:val="left"/>
            </w:pPr>
            <w:r>
              <w:t xml:space="preserve">Burke Museum</w:t>
            </w:r>
          </w:p>
        </w:tc>
      </w:tr>
      <w:tr>
        <w:tc>
          <w:p>
            <w:pPr>
              <w:pStyle w:val="Compact"/>
              <w:jc w:val="left"/>
            </w:pPr>
            <w:r>
              <w:t xml:space="preserve">UAM</w:t>
            </w:r>
          </w:p>
        </w:tc>
        <w:tc>
          <w:p>
            <w:pPr>
              <w:pStyle w:val="Compact"/>
              <w:jc w:val="left"/>
            </w:pPr>
            <w:r>
              <w:t xml:space="preserve">University of Alaska Museum</w:t>
            </w:r>
          </w:p>
        </w:tc>
      </w:tr>
      <w:tr>
        <w:tc>
          <w:p>
            <w:pPr>
              <w:pStyle w:val="Compact"/>
              <w:jc w:val="left"/>
            </w:pPr>
            <w:r>
              <w:t xml:space="preserve">FMNH</w:t>
            </w:r>
          </w:p>
        </w:tc>
        <w:tc>
          <w:p>
            <w:pPr>
              <w:pStyle w:val="Compact"/>
              <w:jc w:val="left"/>
            </w:pPr>
            <w:r>
              <w:t xml:space="preserve">The Field Museum</w:t>
            </w:r>
          </w:p>
        </w:tc>
      </w:tr>
      <w:tr>
        <w:tc>
          <w:p>
            <w:pPr>
              <w:pStyle w:val="Compact"/>
              <w:jc w:val="left"/>
            </w:pPr>
            <w:r>
              <w:t xml:space="preserve">AMNH</w:t>
            </w:r>
          </w:p>
        </w:tc>
        <w:tc>
          <w:p>
            <w:pPr>
              <w:pStyle w:val="Compact"/>
              <w:jc w:val="left"/>
            </w:pPr>
            <w:r>
              <w:t xml:space="preserve">American Museum of Natural History</w:t>
            </w:r>
          </w:p>
        </w:tc>
      </w:tr>
      <w:tr>
        <w:tc>
          <w:p>
            <w:pPr>
              <w:pStyle w:val="Compact"/>
              <w:jc w:val="left"/>
            </w:pPr>
            <w:r>
              <w:t xml:space="preserve">MACN</w:t>
            </w:r>
          </w:p>
        </w:tc>
        <w:tc>
          <w:p>
            <w:pPr>
              <w:pStyle w:val="Compact"/>
              <w:jc w:val="left"/>
            </w:pPr>
            <w:r>
              <w:t xml:space="preserve">Museo Argentino de Ciencias Naturales</w:t>
            </w:r>
          </w:p>
        </w:tc>
      </w:tr>
      <w:tr>
        <w:tc>
          <w:p>
            <w:pPr>
              <w:pStyle w:val="Compact"/>
              <w:jc w:val="left"/>
            </w:pPr>
            <w:r>
              <w:t xml:space="preserve">ANWC</w:t>
            </w:r>
          </w:p>
        </w:tc>
        <w:tc>
          <w:p>
            <w:pPr>
              <w:pStyle w:val="Compact"/>
              <w:jc w:val="left"/>
            </w:pPr>
            <w:r>
              <w:t xml:space="preserve">Australian National Wildlife Collection</w:t>
            </w:r>
          </w:p>
        </w:tc>
      </w:tr>
      <w:tr>
        <w:tc>
          <w:p>
            <w:pPr>
              <w:pStyle w:val="Compact"/>
              <w:jc w:val="left"/>
            </w:pPr>
            <w:r>
              <w:t xml:space="preserve">LGEMA</w:t>
            </w:r>
          </w:p>
        </w:tc>
        <w:tc>
          <w:p>
            <w:pPr>
              <w:pStyle w:val="Compact"/>
              <w:jc w:val="left"/>
            </w:pPr>
            <w:r>
              <w:t xml:space="preserve">Laboratorio de Genetica e Evolucao Molecular de Aves</w:t>
            </w:r>
          </w:p>
        </w:tc>
      </w:tr>
      <w:tr>
        <w:tc>
          <w:p>
            <w:pPr>
              <w:pStyle w:val="Compact"/>
              <w:jc w:val="left"/>
            </w:pPr>
            <w:r>
              <w:t xml:space="preserve">BIOUG</w:t>
            </w:r>
          </w:p>
        </w:tc>
        <w:tc>
          <w:p>
            <w:pPr>
              <w:pStyle w:val="Compact"/>
              <w:jc w:val="left"/>
            </w:pPr>
            <w:r>
              <w:t xml:space="preserve">Centre for Biodiversity Genomics</w:t>
            </w:r>
          </w:p>
        </w:tc>
      </w:tr>
      <w:tr>
        <w:tc>
          <w:p>
            <w:pPr>
              <w:pStyle w:val="Compact"/>
              <w:jc w:val="left"/>
            </w:pPr>
            <w:r>
              <w:t xml:space="preserve">NRM</w:t>
            </w:r>
          </w:p>
        </w:tc>
        <w:tc>
          <w:p>
            <w:pPr>
              <w:pStyle w:val="Compact"/>
              <w:jc w:val="left"/>
            </w:pPr>
            <w:r>
              <w:t xml:space="preserve">Naturhistoriska riksmuseet</w:t>
            </w:r>
          </w:p>
        </w:tc>
      </w:tr>
      <w:tr>
        <w:tc>
          <w:p>
            <w:pPr>
              <w:pStyle w:val="Compact"/>
              <w:jc w:val="left"/>
            </w:pPr>
            <w:r>
              <w:t xml:space="preserve">ZMUC</w:t>
            </w:r>
          </w:p>
        </w:tc>
        <w:tc>
          <w:p>
            <w:pPr>
              <w:pStyle w:val="Compact"/>
              <w:jc w:val="left"/>
            </w:pPr>
            <w:r>
              <w:t xml:space="preserve">Zoological Museum University of Copenhagen</w:t>
            </w:r>
          </w:p>
        </w:tc>
      </w:tr>
      <w:tr>
        <w:tc>
          <w:p>
            <w:pPr>
              <w:pStyle w:val="Compact"/>
              <w:jc w:val="left"/>
            </w:pPr>
            <w:r>
              <w:t xml:space="preserve">MPEG</w:t>
            </w:r>
          </w:p>
        </w:tc>
        <w:tc>
          <w:p>
            <w:pPr>
              <w:pStyle w:val="Compact"/>
              <w:jc w:val="left"/>
            </w:pPr>
            <w:r>
              <w:t xml:space="preserve">Museu Paraense Emilio Goeldi</w:t>
            </w:r>
          </w:p>
        </w:tc>
      </w:tr>
      <w:tr>
        <w:tc>
          <w:p>
            <w:pPr>
              <w:pStyle w:val="Compact"/>
              <w:jc w:val="left"/>
            </w:pPr>
            <w:r>
              <w:t xml:space="preserve">NHMO</w:t>
            </w:r>
          </w:p>
        </w:tc>
        <w:tc>
          <w:p>
            <w:pPr>
              <w:pStyle w:val="Compact"/>
              <w:jc w:val="left"/>
            </w:pPr>
            <w:r>
              <w:t xml:space="preserve">Natural History Museum Oslo University</w:t>
            </w:r>
          </w:p>
        </w:tc>
      </w:tr>
      <w:tr>
        <w:tc>
          <w:p>
            <w:pPr>
              <w:pStyle w:val="Compact"/>
              <w:jc w:val="left"/>
            </w:pPr>
            <w:r>
              <w:t xml:space="preserve">IPMB</w:t>
            </w:r>
          </w:p>
        </w:tc>
        <w:tc>
          <w:p>
            <w:pPr>
              <w:pStyle w:val="Compact"/>
              <w:jc w:val="left"/>
            </w:pPr>
            <w:r>
              <w:t xml:space="preserve">Institute of Plant and Microbial Biology</w:t>
            </w:r>
          </w:p>
        </w:tc>
      </w:tr>
      <w:tr>
        <w:tc>
          <w:p>
            <w:pPr>
              <w:pStyle w:val="Compact"/>
              <w:jc w:val="left"/>
            </w:pPr>
            <w:r>
              <w:t xml:space="preserve">ANSP</w:t>
            </w:r>
          </w:p>
        </w:tc>
        <w:tc>
          <w:p>
            <w:pPr>
              <w:pStyle w:val="Compact"/>
              <w:jc w:val="left"/>
            </w:pPr>
            <w:r>
              <w:t xml:space="preserve">Academy of Natural Sciences of Drexel University</w:t>
            </w:r>
          </w:p>
        </w:tc>
      </w:tr>
      <w:tr>
        <w:tc>
          <w:p>
            <w:pPr>
              <w:pStyle w:val="Compact"/>
              <w:jc w:val="left"/>
            </w:pPr>
            <w:r>
              <w:t xml:space="preserve">KUNHM</w:t>
            </w:r>
          </w:p>
        </w:tc>
        <w:tc>
          <w:p>
            <w:pPr>
              <w:pStyle w:val="Compact"/>
              <w:jc w:val="left"/>
            </w:pPr>
            <w:r>
              <w:t xml:space="preserve">Kansas University Biodiversity Institute &amp; Natural History Museum</w:t>
            </w:r>
          </w:p>
        </w:tc>
      </w:tr>
      <w:tr>
        <w:tc>
          <w:p>
            <w:pPr>
              <w:pStyle w:val="Compact"/>
              <w:jc w:val="left"/>
            </w:pPr>
            <w:r>
              <w:t xml:space="preserve">MVZ</w:t>
            </w:r>
          </w:p>
        </w:tc>
        <w:tc>
          <w:p>
            <w:pPr>
              <w:pStyle w:val="Compact"/>
              <w:jc w:val="left"/>
            </w:pPr>
            <w:r>
              <w:t xml:space="preserve">The Museum of Vertebrate Zoology at Berkeley</w:t>
            </w:r>
          </w:p>
        </w:tc>
      </w:tr>
      <w:tr>
        <w:tc>
          <w:p>
            <w:pPr>
              <w:pStyle w:val="Compact"/>
              <w:jc w:val="left"/>
            </w:pPr>
            <w:r>
              <w:t xml:space="preserve">INPA</w:t>
            </w:r>
          </w:p>
        </w:tc>
        <w:tc>
          <w:p>
            <w:pPr>
              <w:pStyle w:val="Compact"/>
              <w:jc w:val="left"/>
            </w:pPr>
            <w:r>
              <w:t xml:space="preserve">National Institute of Amazon Researches</w:t>
            </w:r>
          </w:p>
        </w:tc>
      </w:tr>
      <w:tr>
        <w:tc>
          <w:p>
            <w:pPr>
              <w:pStyle w:val="Compact"/>
              <w:jc w:val="left"/>
            </w:pPr>
            <w:r>
              <w:t xml:space="preserve">NSMT</w:t>
            </w:r>
          </w:p>
        </w:tc>
        <w:tc>
          <w:p>
            <w:pPr>
              <w:pStyle w:val="Compact"/>
              <w:jc w:val="left"/>
            </w:pPr>
            <w:r>
              <w:t xml:space="preserve">National Museum of Nature and Science,Tokyo</w:t>
            </w:r>
          </w:p>
        </w:tc>
      </w:tr>
      <w:tr>
        <w:tc>
          <w:p>
            <w:pPr>
              <w:pStyle w:val="Compact"/>
              <w:jc w:val="left"/>
            </w:pPr>
            <w:r>
              <w:t xml:space="preserve">MBM</w:t>
            </w:r>
          </w:p>
        </w:tc>
        <w:tc>
          <w:p>
            <w:pPr>
              <w:pStyle w:val="Compact"/>
              <w:jc w:val="left"/>
            </w:pPr>
            <w:r>
              <w:t xml:space="preserve">Museu Botanico Municipal (Curitiba)</w:t>
            </w:r>
          </w:p>
        </w:tc>
      </w:tr>
      <w:tr>
        <w:tc>
          <w:p>
            <w:pPr>
              <w:pStyle w:val="Compact"/>
              <w:jc w:val="left"/>
            </w:pPr>
            <w:r>
              <w:t xml:space="preserve">BMNH</w:t>
            </w:r>
          </w:p>
        </w:tc>
        <w:tc>
          <w:p>
            <w:pPr>
              <w:pStyle w:val="Compact"/>
              <w:jc w:val="left"/>
            </w:pPr>
            <w:r>
              <w:t xml:space="preserve">Natural History Museum London</w:t>
            </w:r>
          </w:p>
        </w:tc>
      </w:tr>
      <w:tr>
        <w:tc>
          <w:p>
            <w:pPr>
              <w:pStyle w:val="Compact"/>
              <w:jc w:val="left"/>
            </w:pPr>
            <w:r>
              <w:t xml:space="preserve">UMMZ</w:t>
            </w:r>
          </w:p>
        </w:tc>
        <w:tc>
          <w:p>
            <w:pPr>
              <w:pStyle w:val="Compact"/>
              <w:jc w:val="left"/>
            </w:pPr>
            <w:r>
              <w:t xml:space="preserve">University of Michigan Museum of Zoology</w:t>
            </w:r>
          </w:p>
        </w:tc>
      </w:tr>
      <w:tr>
        <w:tc>
          <w:p>
            <w:pPr>
              <w:pStyle w:val="Compact"/>
              <w:jc w:val="left"/>
            </w:pPr>
            <w:r>
              <w:t xml:space="preserve">MSB</w:t>
            </w:r>
          </w:p>
        </w:tc>
        <w:tc>
          <w:p>
            <w:pPr>
              <w:pStyle w:val="Compact"/>
              <w:jc w:val="left"/>
            </w:pPr>
            <w:r>
              <w:t xml:space="preserve">Museum of Southwestern Biology The University of New Mexico</w:t>
            </w:r>
          </w:p>
        </w:tc>
      </w:tr>
      <w:tr>
        <w:tc>
          <w:p>
            <w:pPr>
              <w:pStyle w:val="Compact"/>
              <w:jc w:val="left"/>
            </w:pPr>
            <w:r>
              <w:t xml:space="preserve">YIO</w:t>
            </w:r>
          </w:p>
        </w:tc>
        <w:tc>
          <w:p>
            <w:pPr>
              <w:pStyle w:val="Compact"/>
              <w:jc w:val="left"/>
            </w:pPr>
            <w:r>
              <w:t xml:space="preserve">Yamashina Institute for Ornithology</w:t>
            </w:r>
          </w:p>
        </w:tc>
      </w:tr>
      <w:tr>
        <w:tc>
          <w:p>
            <w:pPr>
              <w:pStyle w:val="Compact"/>
              <w:jc w:val="left"/>
            </w:pPr>
            <w:r>
              <w:t xml:space="preserve">BISE</w:t>
            </w:r>
          </w:p>
        </w:tc>
        <w:tc>
          <w:p>
            <w:pPr>
              <w:pStyle w:val="Compact"/>
              <w:jc w:val="left"/>
            </w:pPr>
            <w:r>
              <w:t xml:space="preserve">Biodiversity Information System for Europe</w:t>
            </w:r>
          </w:p>
        </w:tc>
      </w:tr>
      <w:tr>
        <w:tc>
          <w:p>
            <w:pPr>
              <w:pStyle w:val="Compact"/>
              <w:jc w:val="left"/>
            </w:pPr>
            <w:r>
              <w:t xml:space="preserve">MZFC</w:t>
            </w:r>
          </w:p>
        </w:tc>
        <w:tc>
          <w:p>
            <w:pPr>
              <w:pStyle w:val="Compact"/>
              <w:jc w:val="left"/>
            </w:pPr>
            <w:r>
              <w:t xml:space="preserve">UNAM - Coleccion Ornitologica del Museo de Zoologia</w:t>
            </w:r>
          </w:p>
        </w:tc>
      </w:tr>
      <w:tr>
        <w:tc>
          <w:p>
            <w:pPr>
              <w:pStyle w:val="Compact"/>
              <w:jc w:val="left"/>
            </w:pPr>
            <w:r>
              <w:t xml:space="preserve">RMCA</w:t>
            </w:r>
          </w:p>
        </w:tc>
        <w:tc>
          <w:p>
            <w:pPr>
              <w:pStyle w:val="Compact"/>
              <w:jc w:val="left"/>
            </w:pPr>
            <w:r>
              <w:t xml:space="preserve">Royal Museum for Central Africa Tervuren Belgium</w:t>
            </w:r>
          </w:p>
        </w:tc>
      </w:tr>
      <w:tr>
        <w:tc>
          <w:p>
            <w:pPr>
              <w:pStyle w:val="Compact"/>
              <w:jc w:val="left"/>
            </w:pPr>
            <w:r>
              <w:t xml:space="preserve">STRI</w:t>
            </w:r>
          </w:p>
        </w:tc>
        <w:tc>
          <w:p>
            <w:pPr>
              <w:pStyle w:val="Compact"/>
              <w:jc w:val="left"/>
            </w:pPr>
            <w:r>
              <w:t xml:space="preserve">Smithsonian Tropical Research Institute</w:t>
            </w:r>
          </w:p>
        </w:tc>
      </w:tr>
      <w:tr>
        <w:tc>
          <w:p>
            <w:pPr>
              <w:pStyle w:val="Compact"/>
              <w:jc w:val="left"/>
            </w:pPr>
            <w:r>
              <w:t xml:space="preserve">MNHN</w:t>
            </w:r>
          </w:p>
        </w:tc>
        <w:tc>
          <w:p>
            <w:pPr>
              <w:pStyle w:val="Compact"/>
              <w:jc w:val="left"/>
            </w:pPr>
            <w:r>
              <w:t xml:space="preserve">Museum national dHistoire naturelle</w:t>
            </w:r>
          </w:p>
        </w:tc>
      </w:tr>
      <w:tr>
        <w:tc>
          <w:p>
            <w:pPr>
              <w:pStyle w:val="Compact"/>
              <w:jc w:val="left"/>
            </w:pPr>
            <w:r>
              <w:t xml:space="preserve">DZUG</w:t>
            </w:r>
          </w:p>
        </w:tc>
        <w:tc>
          <w:p>
            <w:pPr>
              <w:pStyle w:val="Compact"/>
              <w:jc w:val="left"/>
            </w:pPr>
            <w:r>
              <w:t xml:space="preserve">Zoology University of Gothenburg</w:t>
            </w:r>
          </w:p>
        </w:tc>
      </w:tr>
    </w:tbl>
    <w:p>
      <w:pPr>
        <w:pStyle w:val="Heading2"/>
      </w:pPr>
      <w:bookmarkStart w:id="29" w:name="maps-for-the-sequences"/>
      <w:bookmarkEnd w:id="29"/>
      <w:r>
        <w:t xml:space="preserve">Maps for the sequences</w:t>
      </w:r>
    </w:p>
    <w:p>
      <w:pPr>
        <w:pStyle w:val="FirstParagraph"/>
      </w:pPr>
      <w:r>
        <w:t xml:space="preserve">We mapped all the sequences for which coordinates were obtained from GenBank and GBIF. This data do not include the sequences with locality descriptions. Blue and orange dots represent GenBank and GBIF coordinates respectively.</w:t>
      </w:r>
      <w:r>
        <w:t xml:space="preserve"> </w:t>
      </w:r>
    </w:p>
    <w:p>
      <w:pPr>
        <w:pStyle w:val="BodyText"/>
      </w:pPr>
      <w:r>
        <w:drawing>
          <wp:inline>
            <wp:extent cx="5334000" cy="4267200"/>
            <wp:effectExtent b="0" l="0" r="0" t="0"/>
            <wp:docPr descr="" id="1" name="Picture"/>
            <a:graphic>
              <a:graphicData uri="http://schemas.openxmlformats.org/drawingml/2006/picture">
                <pic:pic>
                  <pic:nvPicPr>
                    <pic:cNvPr descr="report_BMD_files/figure-docx/BMD.genbank.and.gbif.map-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drawing>
          <wp:inline>
            <wp:extent cx="5334000" cy="4267200"/>
            <wp:effectExtent b="0" l="0" r="0" t="0"/>
            <wp:docPr descr="" id="1" name="Picture"/>
            <a:graphic>
              <a:graphicData uri="http://schemas.openxmlformats.org/drawingml/2006/picture">
                <pic:pic>
                  <pic:nvPicPr>
                    <pic:cNvPr descr="report_BMD_files/figure-docx/BMD.disjuntive.Genbank.map-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 </w:t>
      </w:r>
      <w:r>
        <w:t xml:space="preserve"> </w:t>
      </w:r>
      <w:r>
        <w:drawing>
          <wp:inline>
            <wp:extent cx="5334000" cy="4267200"/>
            <wp:effectExtent b="0" l="0" r="0" t="0"/>
            <wp:docPr descr="" id="1" name="Picture"/>
            <a:graphic>
              <a:graphicData uri="http://schemas.openxmlformats.org/drawingml/2006/picture">
                <pic:pic>
                  <pic:nvPicPr>
                    <pic:cNvPr descr="report_BMD_files/figure-docx/BMD.disjuntive.GBIF.map-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We were able to simultaneously retrieve coordinates from both GenBank and GBIF for 3693 sequences. Assuming that coordinates in GenBank and GBIF are correct, we would expect that the map with points from both GenBank and GBIF will overlap completely, and that the absolut paired distance between GenBank and GBIF coordinates is equal to zero. We found that most of the points overlap and that in general the paired distance between GenBank and GBIF coordinates is smaller than 0.015 decimal degrees. However, for 405 sequences the absolut distance between Genbank and GBIF coordinates range from 0.017 to 360 decimal degrees, indicating that aproximately 11% of the sequences have incongruent coordinates in different repositories.</w:t>
      </w:r>
    </w:p>
    <w:p>
      <w:pPr>
        <w:pStyle w:val="BodyText"/>
      </w:pPr>
      <w:r>
        <w:drawing>
          <wp:inline>
            <wp:extent cx="5334000" cy="4267200"/>
            <wp:effectExtent b="0" l="0" r="0" t="0"/>
            <wp:docPr descr="" id="1" name="Picture"/>
            <a:graphic>
              <a:graphicData uri="http://schemas.openxmlformats.org/drawingml/2006/picture">
                <pic:pic>
                  <pic:nvPicPr>
                    <pic:cNvPr descr="report_BMD_files/figure-docx/BMD.intersection.map-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p>
    <w:p>
      <w:pPr>
        <w:pStyle w:val="Heading2"/>
      </w:pPr>
      <w:bookmarkStart w:id="34" w:name="mean-distance-between-genbank-and-gbif-coordinates"/>
      <w:bookmarkEnd w:id="34"/>
      <w:r>
        <w:t xml:space="preserve">Mean distance between GenBank and GBIF coordinates</w:t>
      </w:r>
    </w:p>
    <w:p>
      <w:pPr>
        <w:pStyle w:val="FirstParagraph"/>
      </w:pPr>
      <w:r>
        <w:drawing>
          <wp:inline>
            <wp:extent cx="5334000" cy="4267200"/>
            <wp:effectExtent b="0" l="0" r="0" t="0"/>
            <wp:docPr descr="" id="1" name="Picture"/>
            <a:graphic>
              <a:graphicData uri="http://schemas.openxmlformats.org/drawingml/2006/picture">
                <pic:pic>
                  <pic:nvPicPr>
                    <pic:cNvPr descr="report_BMD_files/figure-docx/BMD.coordinates.diff.map-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7a5c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3" Target="http://www.geonames.org/" TargetMode="External" /><Relationship Type="http://schemas.openxmlformats.org/officeDocument/2006/relationships/hyperlink" Id="rId22" Target="https://www.ncbi.nlm.nih.gov/genbank/" TargetMode="External" /></Relationships>
</file>

<file path=word/_rels/footnotes.xml.rels><?xml version="1.0" encoding="UTF-8"?>
<Relationships xmlns="http://schemas.openxmlformats.org/package/2006/relationships"><Relationship Type="http://schemas.openxmlformats.org/officeDocument/2006/relationships/hyperlink" Id="rId23" Target="http://www.geonames.org/" TargetMode="External" /><Relationship Type="http://schemas.openxmlformats.org/officeDocument/2006/relationships/hyperlink" Id="rId22" Target="https://www.ncbi.nlm.nih.gov/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Bird museum data (BMD)</dc:title>
  <dc:creator/>
  <dcterms:created xsi:type="dcterms:W3CDTF">2017-04-10T13:43:27Z</dcterms:created>
  <dcterms:modified xsi:type="dcterms:W3CDTF">2017-04-10T13:43:27Z</dcterms:modified>
</cp:coreProperties>
</file>