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552" w:rsidRDefault="004B4A1C">
      <w:pPr>
        <w:pStyle w:val="a3"/>
        <w:spacing w:line="0" w:lineRule="atLeast"/>
        <w:jc w:val="center"/>
        <w:rPr>
          <w:rFonts w:ascii="方正小标宋简体" w:eastAsia="方正小标宋简体" w:hAnsi="宋体"/>
          <w:bCs/>
          <w:caps/>
          <w:sz w:val="48"/>
          <w:szCs w:val="48"/>
        </w:rPr>
      </w:pPr>
      <w:r>
        <w:rPr>
          <w:rFonts w:ascii="方正小标宋简体" w:eastAsia="方正小标宋简体" w:hAnsi="宋体" w:hint="eastAsia"/>
          <w:bCs/>
          <w:caps/>
          <w:sz w:val="48"/>
          <w:szCs w:val="48"/>
        </w:rPr>
        <w:t>中泰证券股份有限公司</w:t>
      </w:r>
    </w:p>
    <w:p w:rsidR="005D1552" w:rsidRDefault="004B4A1C">
      <w:pPr>
        <w:pStyle w:val="a3"/>
        <w:spacing w:line="0" w:lineRule="atLeast"/>
        <w:jc w:val="center"/>
        <w:outlineLvl w:val="0"/>
        <w:rPr>
          <w:rFonts w:ascii="方正小标宋简体" w:eastAsia="方正小标宋简体" w:hAnsi="宋体"/>
          <w:bCs/>
          <w:caps/>
          <w:sz w:val="48"/>
          <w:szCs w:val="48"/>
        </w:rPr>
      </w:pPr>
      <w:r>
        <w:rPr>
          <w:rFonts w:ascii="方正小标宋简体" w:eastAsia="方正小标宋简体" w:hAnsi="宋体" w:hint="eastAsia"/>
          <w:bCs/>
          <w:caps/>
          <w:sz w:val="48"/>
          <w:szCs w:val="48"/>
        </w:rPr>
        <w:t>极速交易系统接入使用技术指引</w:t>
      </w: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5D1552">
      <w:pPr>
        <w:pStyle w:val="a3"/>
        <w:spacing w:line="0" w:lineRule="atLeast"/>
        <w:jc w:val="center"/>
        <w:rPr>
          <w:rFonts w:ascii="方正小标宋简体" w:eastAsia="方正小标宋简体" w:hAnsi="宋体"/>
          <w:bCs/>
          <w:caps/>
          <w:sz w:val="44"/>
          <w:szCs w:val="44"/>
        </w:rPr>
      </w:pPr>
    </w:p>
    <w:p w:rsidR="005D1552" w:rsidRDefault="004B4A1C">
      <w:pPr>
        <w:pStyle w:val="a3"/>
        <w:spacing w:line="0" w:lineRule="atLeast"/>
        <w:jc w:val="center"/>
        <w:rPr>
          <w:rFonts w:ascii="方正小标宋简体" w:eastAsia="方正小标宋简体" w:hAnsi="宋体"/>
          <w:bCs/>
          <w:caps/>
          <w:sz w:val="30"/>
          <w:szCs w:val="30"/>
        </w:rPr>
      </w:pPr>
      <w:r>
        <w:rPr>
          <w:rFonts w:ascii="方正小标宋简体" w:eastAsia="方正小标宋简体" w:hAnsi="宋体" w:hint="eastAsia"/>
          <w:bCs/>
          <w:caps/>
          <w:sz w:val="30"/>
          <w:szCs w:val="30"/>
        </w:rPr>
        <w:t>信息技术总部</w:t>
      </w:r>
    </w:p>
    <w:p w:rsidR="005D1552" w:rsidRDefault="004B4A1C">
      <w:pPr>
        <w:pStyle w:val="a3"/>
        <w:spacing w:line="0" w:lineRule="atLeast"/>
        <w:jc w:val="center"/>
        <w:rPr>
          <w:rFonts w:ascii="方正小标宋简体" w:eastAsia="方正小标宋简体" w:hAnsi="宋体"/>
          <w:bCs/>
          <w:caps/>
          <w:sz w:val="30"/>
          <w:szCs w:val="30"/>
        </w:rPr>
      </w:pPr>
      <w:r>
        <w:rPr>
          <w:rFonts w:ascii="方正小标宋简体" w:eastAsia="方正小标宋简体" w:hAnsi="宋体" w:hint="eastAsia"/>
          <w:bCs/>
          <w:caps/>
          <w:sz w:val="30"/>
          <w:szCs w:val="30"/>
        </w:rPr>
        <w:t>2017年1月11日</w:t>
      </w:r>
    </w:p>
    <w:p w:rsidR="005D1552" w:rsidRDefault="005D1552">
      <w:pPr>
        <w:pStyle w:val="a3"/>
        <w:spacing w:line="0" w:lineRule="atLeast"/>
        <w:jc w:val="center"/>
        <w:rPr>
          <w:rFonts w:ascii="方正小标宋简体" w:eastAsia="方正小标宋简体" w:hAnsi="宋体"/>
          <w:bCs/>
          <w:caps/>
          <w:sz w:val="44"/>
          <w:szCs w:val="44"/>
        </w:rPr>
      </w:pPr>
    </w:p>
    <w:p w:rsidR="005D1552" w:rsidRDefault="004B4A1C" w:rsidP="00A37423">
      <w:pPr>
        <w:pStyle w:val="a3"/>
        <w:numPr>
          <w:ilvl w:val="0"/>
          <w:numId w:val="2"/>
        </w:numPr>
        <w:spacing w:line="360" w:lineRule="auto"/>
        <w:rPr>
          <w:rFonts w:ascii="Cambria" w:eastAsia="宋体" w:hAnsi="Cambria"/>
          <w:b/>
          <w:bCs/>
          <w:szCs w:val="32"/>
        </w:rPr>
      </w:pPr>
      <w:r>
        <w:rPr>
          <w:rFonts w:ascii="Cambria" w:eastAsia="宋体" w:hAnsi="Cambria"/>
          <w:b/>
          <w:bCs/>
          <w:szCs w:val="32"/>
        </w:rPr>
        <w:t>总则</w:t>
      </w:r>
    </w:p>
    <w:p w:rsidR="00A37423" w:rsidRDefault="00A37423" w:rsidP="00A37423">
      <w:pPr>
        <w:pStyle w:val="a3"/>
        <w:spacing w:line="360" w:lineRule="auto"/>
        <w:ind w:left="3052"/>
        <w:rPr>
          <w:rFonts w:ascii="Cambria" w:eastAsia="宋体" w:hAnsi="Cambria" w:hint="eastAsia"/>
          <w:b/>
          <w:bCs/>
          <w:szCs w:val="32"/>
        </w:rPr>
      </w:pPr>
      <w:bookmarkStart w:id="0" w:name="_GoBack"/>
      <w:bookmarkEnd w:id="0"/>
    </w:p>
    <w:p w:rsidR="005D1552" w:rsidRDefault="004B4A1C">
      <w:pPr>
        <w:pStyle w:val="a3"/>
        <w:spacing w:line="360" w:lineRule="auto"/>
        <w:ind w:firstLineChars="196" w:firstLine="630"/>
        <w:rPr>
          <w:rFonts w:ascii="仿宋_GB2312" w:hAnsi="仿宋_GB2312" w:cs="仿宋_GB2312"/>
          <w:szCs w:val="32"/>
        </w:rPr>
      </w:pPr>
      <w:r>
        <w:rPr>
          <w:rFonts w:ascii="仿宋_GB2312" w:hAnsi="仿宋_GB2312" w:cs="仿宋_GB2312" w:hint="eastAsia"/>
          <w:b/>
          <w:szCs w:val="32"/>
        </w:rPr>
        <w:t>第一条</w:t>
      </w:r>
      <w:r>
        <w:rPr>
          <w:rFonts w:ascii="仿宋_GB2312" w:hAnsi="仿宋_GB2312" w:cs="仿宋_GB2312" w:hint="eastAsia"/>
          <w:szCs w:val="32"/>
        </w:rPr>
        <w:t xml:space="preserve">  为加强公司信息系统的风险管理，维护公司信息系统安全、稳定运行，有效防范风险，保护投资者合法权益，从技术上规范明确极速交易系统接入使用上的可行性范围，根据《上海证券交易所程序化交易管理实施细则(征求意见稿)》、《证券公司融资融券业务试点管理办法》、《证券公司网上证券信息系统技术指引》、《关于</w:t>
      </w:r>
      <w:r>
        <w:rPr>
          <w:rFonts w:ascii="仿宋_GB2312" w:hAnsi="仿宋_GB2312" w:cs="仿宋_GB2312"/>
          <w:szCs w:val="32"/>
        </w:rPr>
        <w:t>加强证券公司信息系统外部接入管理的通知》</w:t>
      </w:r>
      <w:r>
        <w:rPr>
          <w:rFonts w:ascii="仿宋_GB2312" w:hAnsi="仿宋_GB2312" w:cs="仿宋_GB2312" w:hint="eastAsia"/>
          <w:szCs w:val="32"/>
        </w:rPr>
        <w:t>、《证券公司外部接入信息系统评估认证规范》以及</w:t>
      </w:r>
      <w:r>
        <w:rPr>
          <w:rFonts w:ascii="仿宋_GB2312" w:hint="eastAsia"/>
          <w:szCs w:val="32"/>
        </w:rPr>
        <w:t>《公司信息技术管理制度》等监管规定、行业规范和公司制度，特制定本指引。</w:t>
      </w:r>
      <w:r>
        <w:rPr>
          <w:rFonts w:ascii="仿宋_GB2312" w:hAnsi="仿宋_GB2312" w:cs="仿宋_GB2312" w:hint="eastAsia"/>
          <w:szCs w:val="32"/>
        </w:rPr>
        <w:t>本指引适用于公司总部及各分支机构。</w:t>
      </w:r>
    </w:p>
    <w:p w:rsidR="005D1552" w:rsidRDefault="004B4A1C">
      <w:pPr>
        <w:pStyle w:val="a3"/>
        <w:spacing w:line="360" w:lineRule="auto"/>
        <w:ind w:firstLineChars="200" w:firstLine="643"/>
        <w:rPr>
          <w:rFonts w:ascii="仿宋_GB2312" w:hAnsi="仿宋_GB2312" w:cs="仿宋_GB2312"/>
          <w:szCs w:val="32"/>
        </w:rPr>
      </w:pPr>
      <w:r>
        <w:rPr>
          <w:rFonts w:ascii="仿宋_GB2312" w:hAnsi="仿宋_GB2312" w:cs="仿宋_GB2312" w:hint="eastAsia"/>
          <w:b/>
          <w:szCs w:val="32"/>
        </w:rPr>
        <w:t xml:space="preserve">第二条 </w:t>
      </w:r>
      <w:r>
        <w:rPr>
          <w:rFonts w:ascii="仿宋_GB2312" w:hAnsi="仿宋_GB2312" w:cs="仿宋_GB2312" w:hint="eastAsia"/>
          <w:szCs w:val="32"/>
        </w:rPr>
        <w:t>极速交易系统是指为满足部分或特定投资者需求而开发的，拥有速度优势的类柜台交易系统。</w:t>
      </w:r>
    </w:p>
    <w:p w:rsidR="005D1552" w:rsidRDefault="004B4A1C">
      <w:pPr>
        <w:pStyle w:val="a3"/>
        <w:spacing w:line="360" w:lineRule="auto"/>
        <w:ind w:left="600"/>
        <w:rPr>
          <w:rFonts w:ascii="仿宋_GB2312" w:hAnsi="仿宋_GB2312" w:cs="仿宋_GB2312"/>
          <w:szCs w:val="32"/>
        </w:rPr>
      </w:pPr>
      <w:r>
        <w:rPr>
          <w:rFonts w:ascii="仿宋_GB2312" w:hAnsi="仿宋_GB2312" w:cs="仿宋_GB2312" w:hint="eastAsia"/>
          <w:b/>
          <w:szCs w:val="32"/>
        </w:rPr>
        <w:t xml:space="preserve">第三条 </w:t>
      </w:r>
      <w:r>
        <w:rPr>
          <w:rFonts w:ascii="仿宋_GB2312" w:hAnsi="仿宋_GB2312" w:cs="仿宋_GB2312" w:hint="eastAsia"/>
          <w:szCs w:val="32"/>
        </w:rPr>
        <w:t>极速交易系统的客户接入方式可采用以下四种</w:t>
      </w:r>
    </w:p>
    <w:p w:rsidR="005D1552" w:rsidRDefault="004B4A1C">
      <w:pPr>
        <w:pStyle w:val="a3"/>
        <w:spacing w:line="360" w:lineRule="auto"/>
        <w:rPr>
          <w:rFonts w:ascii="仿宋_GB2312" w:hAnsi="仿宋_GB2312" w:cs="仿宋_GB2312"/>
          <w:szCs w:val="32"/>
        </w:rPr>
      </w:pPr>
      <w:r>
        <w:rPr>
          <w:rFonts w:ascii="仿宋_GB2312" w:hAnsi="仿宋_GB2312" w:cs="仿宋_GB2312" w:hint="eastAsia"/>
          <w:szCs w:val="32"/>
        </w:rPr>
        <w:t>方式：</w:t>
      </w:r>
    </w:p>
    <w:p w:rsidR="005D1552" w:rsidRPr="00A37423" w:rsidRDefault="004B4A1C" w:rsidP="00A37423">
      <w:pPr>
        <w:pStyle w:val="a3"/>
        <w:numPr>
          <w:ilvl w:val="0"/>
          <w:numId w:val="1"/>
        </w:numPr>
        <w:spacing w:line="360" w:lineRule="auto"/>
        <w:rPr>
          <w:rFonts w:ascii="仿宋_GB2312" w:hAnsi="仿宋_GB2312" w:cs="仿宋_GB2312" w:hint="eastAsia"/>
          <w:szCs w:val="32"/>
        </w:rPr>
      </w:pPr>
      <w:r>
        <w:rPr>
          <w:rFonts w:ascii="仿宋_GB2312" w:hAnsi="仿宋_GB2312" w:cs="仿宋_GB2312" w:hint="eastAsia"/>
          <w:szCs w:val="32"/>
        </w:rPr>
        <w:t>采用已有的PB系统对接极速交易系统的接入方式：此种方式由公司已经采购的或自主开发完成上线的PB系统通过API开发接口库对接极速交易系统，然后客户通过此PB系统提供的专用客户端程序完成一系列的交易指令发送及接收完成交易操作。</w:t>
      </w:r>
    </w:p>
    <w:p w:rsidR="005D1552" w:rsidRDefault="004B4A1C">
      <w:pPr>
        <w:pStyle w:val="a3"/>
        <w:numPr>
          <w:ilvl w:val="0"/>
          <w:numId w:val="1"/>
        </w:numPr>
        <w:spacing w:line="360" w:lineRule="auto"/>
        <w:rPr>
          <w:rFonts w:ascii="仿宋_GB2312" w:hAnsi="仿宋_GB2312" w:cs="仿宋_GB2312"/>
          <w:szCs w:val="32"/>
        </w:rPr>
      </w:pPr>
      <w:r>
        <w:rPr>
          <w:rFonts w:ascii="仿宋_GB2312" w:hAnsi="仿宋_GB2312" w:cs="仿宋_GB2312" w:hint="eastAsia"/>
          <w:szCs w:val="32"/>
        </w:rPr>
        <w:lastRenderedPageBreak/>
        <w:t>采用定制化交易系统对接极速交易系统的接入方式：定制化是指有别于现已有PB系统，根据使用客户的需求出发，为实现部分特殊功能而特别开发的交易系统，系统通过API开发接口库对接极速交易系统，完成一系列的交易指令发送及接收完成交易操作。</w:t>
      </w:r>
    </w:p>
    <w:p w:rsidR="005D1552" w:rsidRDefault="004B4A1C">
      <w:pPr>
        <w:pStyle w:val="a3"/>
        <w:numPr>
          <w:ilvl w:val="0"/>
          <w:numId w:val="1"/>
        </w:numPr>
        <w:spacing w:line="360" w:lineRule="auto"/>
        <w:rPr>
          <w:rFonts w:ascii="仿宋_GB2312" w:hAnsi="仿宋_GB2312" w:cs="仿宋_GB2312"/>
          <w:szCs w:val="32"/>
        </w:rPr>
      </w:pPr>
      <w:r>
        <w:rPr>
          <w:rFonts w:ascii="仿宋_GB2312" w:hAnsi="仿宋_GB2312" w:cs="仿宋_GB2312" w:hint="eastAsia"/>
          <w:szCs w:val="32"/>
        </w:rPr>
        <w:t>使用极速交易系统提供的专用客户端程序，进行手工或批量下单操作，完成一系列的交易指令发送及接收完成交易操作。</w:t>
      </w:r>
    </w:p>
    <w:p w:rsidR="005D1552" w:rsidRDefault="004B4A1C">
      <w:pPr>
        <w:pStyle w:val="a3"/>
        <w:numPr>
          <w:ilvl w:val="0"/>
          <w:numId w:val="1"/>
        </w:numPr>
        <w:spacing w:line="360" w:lineRule="auto"/>
        <w:rPr>
          <w:rFonts w:ascii="仿宋_GB2312" w:hAnsi="仿宋_GB2312" w:cs="仿宋_GB2312"/>
          <w:szCs w:val="32"/>
        </w:rPr>
      </w:pPr>
      <w:r>
        <w:rPr>
          <w:rFonts w:ascii="仿宋_GB2312" w:hAnsi="仿宋_GB2312" w:cs="仿宋_GB2312" w:hint="eastAsia"/>
          <w:szCs w:val="32"/>
        </w:rPr>
        <w:t>使用基于开源平台自建的策略交易客户端，加载客户自行编写的策略并运行，运行过程中完成一系列的交易指令发送及接收完成交易操作。</w:t>
      </w:r>
    </w:p>
    <w:p w:rsidR="005D1552" w:rsidRDefault="004B4A1C">
      <w:pPr>
        <w:pStyle w:val="a3"/>
        <w:spacing w:line="360" w:lineRule="auto"/>
        <w:ind w:firstLineChars="200" w:firstLine="643"/>
        <w:rPr>
          <w:rFonts w:ascii="仿宋_GB2312" w:hAnsi="仿宋_GB2312" w:cs="仿宋_GB2312"/>
          <w:szCs w:val="32"/>
        </w:rPr>
      </w:pPr>
      <w:r>
        <w:rPr>
          <w:rFonts w:ascii="仿宋_GB2312" w:hAnsi="仿宋_GB2312" w:cs="仿宋_GB2312" w:hint="eastAsia"/>
          <w:b/>
          <w:szCs w:val="32"/>
        </w:rPr>
        <w:t xml:space="preserve">第四条 </w:t>
      </w:r>
      <w:r>
        <w:rPr>
          <w:rFonts w:ascii="仿宋_GB2312" w:hAnsi="仿宋_GB2312" w:cs="仿宋_GB2312" w:hint="eastAsia"/>
          <w:color w:val="000000"/>
          <w:kern w:val="0"/>
          <w:szCs w:val="32"/>
        </w:rPr>
        <w:t>根据业务要求签署《中泰证券极速交易系统（XTP系统）使用协议》的</w:t>
      </w:r>
      <w:r>
        <w:rPr>
          <w:rFonts w:ascii="仿宋_GB2312" w:hAnsi="仿宋_GB2312" w:cs="仿宋_GB2312" w:hint="eastAsia"/>
          <w:szCs w:val="32"/>
        </w:rPr>
        <w:t>客户应选择一种方式接入使用极速交易系统，但不论使用何种方式与极速交易系统进行对接使用，都应该保证交易全过程的技术可控。</w:t>
      </w:r>
    </w:p>
    <w:p w:rsidR="005D1552" w:rsidRDefault="004B4A1C">
      <w:pPr>
        <w:pStyle w:val="a3"/>
        <w:spacing w:line="360" w:lineRule="auto"/>
        <w:ind w:firstLineChars="200" w:firstLine="643"/>
        <w:rPr>
          <w:rFonts w:ascii="仿宋_GB2312" w:hAnsi="仿宋_GB2312" w:cs="仿宋_GB2312"/>
          <w:szCs w:val="32"/>
        </w:rPr>
      </w:pPr>
      <w:r>
        <w:rPr>
          <w:rFonts w:ascii="仿宋_GB2312" w:hAnsi="仿宋_GB2312" w:cs="仿宋_GB2312" w:hint="eastAsia"/>
          <w:b/>
          <w:szCs w:val="32"/>
        </w:rPr>
        <w:t xml:space="preserve">第五条 </w:t>
      </w:r>
      <w:r>
        <w:rPr>
          <w:rFonts w:ascii="仿宋_GB2312" w:hAnsi="仿宋_GB2312" w:cs="仿宋_GB2312" w:hint="eastAsia"/>
          <w:szCs w:val="32"/>
        </w:rPr>
        <w:t>采用已有的PB系统对接极速交易系统的接入方式时，需确认已有的PB系统的服务器为托管在我公司机房内，仅可将其支持交易策略加载功能的客户端提供给客户。由客户通过专线方式或互联网VPN接入，将其发出的下单指令传输到服务器的报单程序上，再由报单程序完成接口交互下单操作。整个过程中，策略加载程序或报单程序都需使用</w:t>
      </w:r>
      <w:r>
        <w:rPr>
          <w:rFonts w:ascii="仿宋_GB2312" w:hAnsi="仿宋_GB2312" w:cs="仿宋_GB2312" w:hint="eastAsia"/>
          <w:szCs w:val="32"/>
        </w:rPr>
        <w:lastRenderedPageBreak/>
        <w:t>指定、可控的用户账户登录，并全程记录交易操作的日志文件，对客户全程的交易下单等操作都进行完整记录。</w:t>
      </w:r>
    </w:p>
    <w:p w:rsidR="005D1552" w:rsidRDefault="004B4A1C">
      <w:pPr>
        <w:pStyle w:val="a3"/>
        <w:spacing w:line="360" w:lineRule="auto"/>
        <w:ind w:firstLineChars="200" w:firstLine="643"/>
        <w:rPr>
          <w:rFonts w:ascii="仿宋_GB2312" w:hAnsi="仿宋_GB2312" w:cs="仿宋_GB2312"/>
          <w:szCs w:val="32"/>
        </w:rPr>
      </w:pPr>
      <w:r>
        <w:rPr>
          <w:rFonts w:ascii="仿宋_GB2312" w:hAnsi="仿宋_GB2312" w:cs="仿宋_GB2312" w:hint="eastAsia"/>
          <w:b/>
          <w:szCs w:val="32"/>
        </w:rPr>
        <w:t xml:space="preserve">第六条 </w:t>
      </w:r>
      <w:r>
        <w:rPr>
          <w:rFonts w:ascii="仿宋_GB2312" w:hAnsi="仿宋_GB2312" w:cs="仿宋_GB2312" w:hint="eastAsia"/>
          <w:szCs w:val="32"/>
        </w:rPr>
        <w:t>采用定制化交易系统对接极速交易系统的接入方式时，需将定制化交易系统的服务器托管在我公司机房内，此托管服务器上应部署完整的交易策略加载程序及报单程序部分。客户的交易策略通过交易策略加载程序进行加载，然后通过报单程序部分与极速交易系统进行API接口交互完成下单。此外，为方便客户使用，还可采用直接将交易策略加载部分使用专线接入的方式，将其置于专线另一端的客户环境下来运行。交易策略加载程序通过专线将其发出的下单指令传输到托管服务器的报单程序上，再由报单程序完成接口交互下单操作。整个过程中，策略加载程序或报单程序都需使用指定、可控的用户账户登录，并全程记录交易操作的日志文件，对客户全程的交易下单等操作都进行完整记录。</w:t>
      </w:r>
    </w:p>
    <w:p w:rsidR="005D1552" w:rsidRDefault="004B4A1C">
      <w:pPr>
        <w:pStyle w:val="a3"/>
        <w:spacing w:line="360" w:lineRule="auto"/>
        <w:ind w:firstLineChars="200" w:firstLine="643"/>
        <w:rPr>
          <w:rFonts w:ascii="仿宋_GB2312" w:hAnsi="仿宋_GB2312" w:cs="仿宋_GB2312"/>
          <w:szCs w:val="32"/>
        </w:rPr>
      </w:pPr>
      <w:r>
        <w:rPr>
          <w:rFonts w:ascii="仿宋_GB2312" w:hAnsi="仿宋_GB2312" w:cs="仿宋_GB2312" w:hint="eastAsia"/>
          <w:b/>
          <w:szCs w:val="32"/>
        </w:rPr>
        <w:t xml:space="preserve">第七条 </w:t>
      </w:r>
      <w:r>
        <w:rPr>
          <w:rFonts w:ascii="仿宋_GB2312" w:hAnsi="仿宋_GB2312" w:cs="仿宋_GB2312" w:hint="eastAsia"/>
          <w:szCs w:val="32"/>
        </w:rPr>
        <w:t>使用极速交易系统提供的专用客户端程序完成手工或批量下单操作，完成一系列的交易指令发送及接收完成交易操作时，客户可在营业部局域网环境下或专线方式或互联网VPN接入执行客户端程序的操作。整个过程中，都需使用极速交易系统指定、可控的用户帐户登录，并全程记录交易操作的日志文件，对客户全程的交易下单等操作都进行完整记录。</w:t>
      </w:r>
    </w:p>
    <w:p w:rsidR="005D1552" w:rsidRDefault="004B4A1C">
      <w:pPr>
        <w:pStyle w:val="a3"/>
        <w:spacing w:line="360" w:lineRule="auto"/>
        <w:ind w:firstLineChars="200" w:firstLine="643"/>
        <w:rPr>
          <w:rFonts w:ascii="仿宋_GB2312" w:hAnsi="仿宋_GB2312" w:cs="仿宋_GB2312"/>
          <w:szCs w:val="32"/>
        </w:rPr>
      </w:pPr>
      <w:r>
        <w:rPr>
          <w:rFonts w:ascii="仿宋_GB2312" w:hAnsi="仿宋_GB2312" w:cs="仿宋_GB2312" w:hint="eastAsia"/>
          <w:b/>
          <w:szCs w:val="32"/>
        </w:rPr>
        <w:t xml:space="preserve">第八条 </w:t>
      </w:r>
      <w:r>
        <w:rPr>
          <w:rFonts w:ascii="仿宋_GB2312" w:hAnsi="仿宋_GB2312" w:cs="仿宋_GB2312" w:hint="eastAsia"/>
          <w:szCs w:val="32"/>
        </w:rPr>
        <w:t>使用基于开源平台自建的策略交易客户端，加</w:t>
      </w:r>
      <w:r>
        <w:rPr>
          <w:rFonts w:ascii="仿宋_GB2312" w:hAnsi="仿宋_GB2312" w:cs="仿宋_GB2312" w:hint="eastAsia"/>
          <w:szCs w:val="32"/>
        </w:rPr>
        <w:lastRenderedPageBreak/>
        <w:t>载客户自行编写的策略并运行，完成一系列的交易指令发送及接收完成交易操作时，客户可在营业部局域网环境下或专线方式或互联网VPN接入执行客户端程序的操作。整个过程中，都需使用极速交易系统指定、可控的用户帐户登录，并全程记录交易操作的日志文件，对客户全程的交易下单等操作都进行完整记录。</w:t>
      </w:r>
    </w:p>
    <w:p w:rsidR="00AD00BA" w:rsidRDefault="007C3DC7" w:rsidP="00AD00BA">
      <w:pPr>
        <w:spacing w:after="120"/>
        <w:ind w:firstLine="660"/>
        <w:jc w:val="left"/>
        <w:rPr>
          <w:rFonts w:ascii="仿宋_GB2312" w:eastAsia="仿宋_GB2312" w:hAnsi="仿宋_GB2312" w:cs="仿宋_GB2312"/>
          <w:sz w:val="32"/>
          <w:szCs w:val="32"/>
        </w:rPr>
      </w:pPr>
      <w:r w:rsidRPr="007C3DC7">
        <w:rPr>
          <w:rFonts w:ascii="仿宋_GB2312" w:eastAsia="仿宋_GB2312" w:hAnsi="仿宋_GB2312" w:cs="仿宋_GB2312" w:hint="eastAsia"/>
          <w:b/>
          <w:sz w:val="32"/>
          <w:szCs w:val="32"/>
        </w:rPr>
        <w:t xml:space="preserve">第九条 </w:t>
      </w:r>
      <w:r w:rsidR="00AD00BA" w:rsidRPr="00AD00BA">
        <w:rPr>
          <w:rFonts w:ascii="仿宋_GB2312" w:eastAsia="仿宋_GB2312" w:hAnsi="仿宋_GB2312" w:cs="仿宋_GB2312" w:hint="eastAsia"/>
          <w:sz w:val="32"/>
          <w:szCs w:val="32"/>
        </w:rPr>
        <w:t>采用已有的PB系统对接极速交易系统及定制化交易系统对接极速交易系统的接入方式时</w:t>
      </w:r>
      <w:r w:rsidR="00AD00BA">
        <w:rPr>
          <w:rFonts w:ascii="仿宋_GB2312" w:eastAsia="仿宋_GB2312" w:hAnsi="仿宋_GB2312" w:cs="仿宋_GB2312" w:hint="eastAsia"/>
          <w:sz w:val="32"/>
          <w:szCs w:val="32"/>
        </w:rPr>
        <w:t>，需确认该系统提供券商端管理功能。券商管理端必须提供：所使用客户的一一对应控制管理权限功能（IP地址，MAC地址，硬盘序列号记录及客户账户的启用停用）及交易日志的记录功能。</w:t>
      </w:r>
    </w:p>
    <w:p w:rsidR="005D1552" w:rsidRPr="007C3DC7" w:rsidRDefault="00AD00BA" w:rsidP="00AD00BA">
      <w:pPr>
        <w:spacing w:after="120"/>
        <w:ind w:firstLine="660"/>
        <w:jc w:val="left"/>
        <w:rPr>
          <w:rFonts w:ascii="仿宋_GB2312" w:eastAsia="仿宋_GB2312" w:hAnsi="仿宋_GB2312" w:cs="仿宋_GB2312"/>
          <w:sz w:val="32"/>
          <w:szCs w:val="32"/>
        </w:rPr>
      </w:pPr>
      <w:r w:rsidRPr="007C3DC7">
        <w:rPr>
          <w:rFonts w:ascii="仿宋_GB2312" w:eastAsia="仿宋_GB2312" w:hAnsi="仿宋_GB2312" w:cs="仿宋_GB2312" w:hint="eastAsia"/>
          <w:b/>
          <w:sz w:val="32"/>
          <w:szCs w:val="32"/>
        </w:rPr>
        <w:t>第</w:t>
      </w:r>
      <w:r>
        <w:rPr>
          <w:rFonts w:ascii="仿宋_GB2312" w:eastAsia="仿宋_GB2312" w:hAnsi="仿宋_GB2312" w:cs="仿宋_GB2312" w:hint="eastAsia"/>
          <w:b/>
          <w:sz w:val="32"/>
          <w:szCs w:val="32"/>
        </w:rPr>
        <w:t>十</w:t>
      </w:r>
      <w:r w:rsidRPr="007C3DC7">
        <w:rPr>
          <w:rFonts w:ascii="仿宋_GB2312" w:eastAsia="仿宋_GB2312" w:hAnsi="仿宋_GB2312" w:cs="仿宋_GB2312" w:hint="eastAsia"/>
          <w:b/>
          <w:sz w:val="32"/>
          <w:szCs w:val="32"/>
        </w:rPr>
        <w:t>条</w:t>
      </w:r>
      <w:r>
        <w:rPr>
          <w:rFonts w:ascii="仿宋_GB2312" w:eastAsia="仿宋_GB2312" w:hAnsi="仿宋_GB2312" w:cs="仿宋_GB2312" w:hint="eastAsia"/>
          <w:b/>
          <w:sz w:val="32"/>
          <w:szCs w:val="32"/>
        </w:rPr>
        <w:t xml:space="preserve"> </w:t>
      </w:r>
      <w:r w:rsidRPr="00AD00BA">
        <w:rPr>
          <w:rFonts w:ascii="仿宋_GB2312" w:eastAsia="仿宋_GB2312" w:hAnsi="仿宋_GB2312" w:cs="仿宋_GB2312" w:hint="eastAsia"/>
          <w:sz w:val="32"/>
          <w:szCs w:val="32"/>
        </w:rPr>
        <w:t>采用已有的PB系统对接极速交易系统及</w:t>
      </w:r>
      <w:r>
        <w:rPr>
          <w:rFonts w:ascii="仿宋_GB2312" w:eastAsia="仿宋_GB2312" w:hAnsi="仿宋_GB2312" w:cs="仿宋_GB2312" w:hint="eastAsia"/>
          <w:sz w:val="32"/>
          <w:szCs w:val="32"/>
        </w:rPr>
        <w:t>定制化交易系统对接极速交易系统的接入方式，在申请接入</w:t>
      </w:r>
      <w:r w:rsidR="007C3DC7" w:rsidRPr="007C3DC7">
        <w:rPr>
          <w:rFonts w:ascii="仿宋_GB2312" w:eastAsia="仿宋_GB2312" w:hAnsi="仿宋_GB2312" w:cs="仿宋_GB2312" w:hint="eastAsia"/>
          <w:sz w:val="32"/>
          <w:szCs w:val="32"/>
        </w:rPr>
        <w:t>时，需编写完整的《技术功能说明书</w:t>
      </w:r>
      <w:r w:rsidR="007C3DC7">
        <w:rPr>
          <w:rFonts w:ascii="仿宋_GB2312" w:eastAsia="仿宋_GB2312" w:hAnsi="仿宋_GB2312" w:cs="仿宋_GB2312" w:hint="eastAsia"/>
          <w:sz w:val="32"/>
          <w:szCs w:val="32"/>
        </w:rPr>
        <w:t>》，说明清楚系统支持的技</w:t>
      </w:r>
      <w:r>
        <w:rPr>
          <w:rFonts w:ascii="仿宋_GB2312" w:eastAsia="仿宋_GB2312" w:hAnsi="仿宋_GB2312" w:cs="仿宋_GB2312" w:hint="eastAsia"/>
          <w:sz w:val="32"/>
          <w:szCs w:val="32"/>
        </w:rPr>
        <w:t>术功能、各系统组件的结构、部署方式及通讯方式等。此外还需明确，除交易策略加载程序，</w:t>
      </w:r>
      <w:r w:rsidR="004B4A1C" w:rsidRPr="007C3DC7">
        <w:rPr>
          <w:rFonts w:ascii="仿宋_GB2312" w:eastAsia="仿宋_GB2312" w:hAnsi="仿宋_GB2312" w:cs="仿宋_GB2312" w:hint="eastAsia"/>
          <w:sz w:val="32"/>
          <w:szCs w:val="32"/>
        </w:rPr>
        <w:t>报单程序</w:t>
      </w:r>
      <w:r>
        <w:rPr>
          <w:rFonts w:ascii="仿宋_GB2312" w:eastAsia="仿宋_GB2312" w:hAnsi="仿宋_GB2312" w:cs="仿宋_GB2312" w:hint="eastAsia"/>
          <w:sz w:val="32"/>
          <w:szCs w:val="32"/>
        </w:rPr>
        <w:t>外，</w:t>
      </w:r>
      <w:r w:rsidR="00A37423">
        <w:rPr>
          <w:rFonts w:ascii="仿宋_GB2312" w:eastAsia="仿宋_GB2312" w:hAnsi="仿宋_GB2312" w:cs="仿宋_GB2312" w:hint="eastAsia"/>
          <w:sz w:val="32"/>
          <w:szCs w:val="32"/>
        </w:rPr>
        <w:t>还必须包含券商端管理程序，及可以包含交易风控管理程序</w:t>
      </w:r>
      <w:r>
        <w:rPr>
          <w:rFonts w:ascii="仿宋_GB2312" w:eastAsia="仿宋_GB2312" w:hAnsi="仿宋_GB2312" w:cs="仿宋_GB2312" w:hint="eastAsia"/>
          <w:sz w:val="32"/>
          <w:szCs w:val="32"/>
        </w:rPr>
        <w:t>、</w:t>
      </w:r>
      <w:r w:rsidR="007C3DC7">
        <w:rPr>
          <w:rFonts w:ascii="仿宋_GB2312" w:eastAsia="仿宋_GB2312" w:hAnsi="仿宋_GB2312" w:cs="仿宋_GB2312" w:hint="eastAsia"/>
          <w:sz w:val="32"/>
          <w:szCs w:val="32"/>
        </w:rPr>
        <w:t>中间通讯、监控程序或其他辅助程</w:t>
      </w:r>
      <w:r>
        <w:rPr>
          <w:rFonts w:ascii="仿宋_GB2312" w:eastAsia="仿宋_GB2312" w:hAnsi="仿宋_GB2312" w:cs="仿宋_GB2312" w:hint="eastAsia"/>
          <w:sz w:val="32"/>
          <w:szCs w:val="32"/>
        </w:rPr>
        <w:t>序</w:t>
      </w:r>
      <w:r w:rsidR="00A37423">
        <w:rPr>
          <w:rFonts w:ascii="仿宋_GB2312" w:eastAsia="仿宋_GB2312" w:hAnsi="仿宋_GB2312" w:cs="仿宋_GB2312" w:hint="eastAsia"/>
          <w:sz w:val="32"/>
          <w:szCs w:val="32"/>
        </w:rPr>
        <w:t>。凡与系统相关的这些程序，</w:t>
      </w:r>
      <w:r w:rsidR="004B4A1C" w:rsidRPr="007C3DC7">
        <w:rPr>
          <w:rFonts w:ascii="仿宋_GB2312" w:eastAsia="仿宋_GB2312" w:hAnsi="仿宋_GB2312" w:cs="仿宋_GB2312" w:hint="eastAsia"/>
          <w:sz w:val="32"/>
          <w:szCs w:val="32"/>
        </w:rPr>
        <w:t>都需将其部署在我公司托管机房内。</w:t>
      </w:r>
    </w:p>
    <w:p w:rsidR="005D1552" w:rsidRDefault="004B4A1C">
      <w:pPr>
        <w:pStyle w:val="a3"/>
        <w:spacing w:line="360" w:lineRule="auto"/>
        <w:ind w:firstLineChars="200" w:firstLine="643"/>
        <w:rPr>
          <w:rFonts w:ascii="仿宋_GB2312" w:hAnsi="仿宋_GB2312" w:cs="仿宋_GB2312"/>
          <w:szCs w:val="32"/>
        </w:rPr>
      </w:pPr>
      <w:r>
        <w:rPr>
          <w:rFonts w:ascii="仿宋_GB2312" w:hAnsi="仿宋_GB2312" w:cs="仿宋_GB2312" w:hint="eastAsia"/>
          <w:b/>
          <w:szCs w:val="32"/>
        </w:rPr>
        <w:t>第十</w:t>
      </w:r>
      <w:r w:rsidR="00A37423">
        <w:rPr>
          <w:rFonts w:ascii="仿宋_GB2312" w:hAnsi="仿宋_GB2312" w:cs="仿宋_GB2312" w:hint="eastAsia"/>
          <w:b/>
          <w:szCs w:val="32"/>
        </w:rPr>
        <w:t>一</w:t>
      </w:r>
      <w:r>
        <w:rPr>
          <w:rFonts w:ascii="仿宋_GB2312" w:hAnsi="仿宋_GB2312" w:cs="仿宋_GB2312" w:hint="eastAsia"/>
          <w:b/>
          <w:szCs w:val="32"/>
        </w:rPr>
        <w:t xml:space="preserve">条 </w:t>
      </w:r>
      <w:r>
        <w:rPr>
          <w:rFonts w:ascii="仿宋_GB2312" w:hAnsi="仿宋_GB2312" w:cs="仿宋_GB2312" w:hint="eastAsia"/>
          <w:szCs w:val="32"/>
        </w:rPr>
        <w:t>原则上，对接极速交易系统的定制化交易系统的运维工作由我公司信息技术总部或运营管理部进行。在</w:t>
      </w:r>
      <w:r>
        <w:rPr>
          <w:rFonts w:ascii="仿宋_GB2312" w:hAnsi="仿宋_GB2312" w:cs="仿宋_GB2312" w:hint="eastAsia"/>
          <w:szCs w:val="32"/>
        </w:rPr>
        <w:lastRenderedPageBreak/>
        <w:t>运维过程中，有权通过极速交易系统本身的管理端程序或定制化交易系统所开发的专用券商管理端程序，对存在异常操作的客户执行临时或永久限制账户的操作。</w:t>
      </w:r>
    </w:p>
    <w:p w:rsidR="005D1552" w:rsidRDefault="004B4A1C">
      <w:pPr>
        <w:pStyle w:val="a3"/>
        <w:spacing w:line="360" w:lineRule="auto"/>
        <w:ind w:firstLineChars="200" w:firstLine="643"/>
      </w:pPr>
      <w:r>
        <w:rPr>
          <w:rFonts w:ascii="仿宋_GB2312" w:hAnsi="仿宋_GB2312" w:cs="仿宋_GB2312" w:hint="eastAsia"/>
          <w:b/>
          <w:szCs w:val="32"/>
        </w:rPr>
        <w:t>第十</w:t>
      </w:r>
      <w:r w:rsidR="00A37423">
        <w:rPr>
          <w:rFonts w:ascii="仿宋_GB2312" w:hAnsi="仿宋_GB2312" w:cs="仿宋_GB2312" w:hint="eastAsia"/>
          <w:b/>
          <w:szCs w:val="32"/>
        </w:rPr>
        <w:t>二</w:t>
      </w:r>
      <w:r>
        <w:rPr>
          <w:rFonts w:ascii="仿宋_GB2312" w:hAnsi="仿宋_GB2312" w:cs="仿宋_GB2312" w:hint="eastAsia"/>
          <w:b/>
          <w:szCs w:val="32"/>
        </w:rPr>
        <w:t xml:space="preserve">条 </w:t>
      </w:r>
      <w:r>
        <w:rPr>
          <w:rFonts w:ascii="仿宋_GB2312" w:hAnsi="仿宋_GB2312" w:cs="仿宋_GB2312" w:hint="eastAsia"/>
          <w:szCs w:val="32"/>
        </w:rPr>
        <w:t>对于采用定制的定制化交易系统对接极速交易系统的接入方式及采用已有的定制化交易系统对接极速交易系统的接入方式</w:t>
      </w:r>
      <w:r>
        <w:rPr>
          <w:rFonts w:hint="eastAsia"/>
        </w:rPr>
        <w:t>，都需要根据公司信息技术总部的技术规范性要求，完成功能连通性测试、安全性测试、性能测试等相关测试工作，生成单项测试报告，并汇总编写</w:t>
      </w:r>
      <w:r>
        <w:rPr>
          <w:rFonts w:hint="eastAsia"/>
          <w:b/>
        </w:rPr>
        <w:t>附件</w:t>
      </w:r>
      <w:r>
        <w:rPr>
          <w:rFonts w:hint="eastAsia"/>
          <w:b/>
        </w:rPr>
        <w:t>1</w:t>
      </w:r>
      <w:r>
        <w:rPr>
          <w:rFonts w:hint="eastAsia"/>
          <w:b/>
        </w:rPr>
        <w:t>《测试总结报告》</w:t>
      </w:r>
      <w:r>
        <w:rPr>
          <w:rFonts w:hint="eastAsia"/>
        </w:rPr>
        <w:t>后，还需提交公司部门内部的生产系统上线</w:t>
      </w:r>
      <w:r>
        <w:rPr>
          <w:rFonts w:hint="eastAsia"/>
        </w:rPr>
        <w:t>/</w:t>
      </w:r>
      <w:r>
        <w:rPr>
          <w:rFonts w:hint="eastAsia"/>
        </w:rPr>
        <w:t>变更流程，并完成后，方可正式部署上线。</w:t>
      </w:r>
    </w:p>
    <w:p w:rsidR="005D1552" w:rsidRDefault="004B4A1C">
      <w:pPr>
        <w:pStyle w:val="a3"/>
        <w:spacing w:line="360" w:lineRule="auto"/>
        <w:ind w:firstLineChars="200" w:firstLine="643"/>
        <w:rPr>
          <w:rFonts w:ascii="仿宋_GB2312" w:hAnsi="仿宋_GB2312" w:cs="仿宋_GB2312"/>
          <w:szCs w:val="32"/>
        </w:rPr>
      </w:pPr>
      <w:r>
        <w:rPr>
          <w:rFonts w:ascii="仿宋_GB2312" w:hAnsi="仿宋_GB2312" w:cs="仿宋_GB2312" w:hint="eastAsia"/>
          <w:b/>
          <w:szCs w:val="32"/>
        </w:rPr>
        <w:t>第十</w:t>
      </w:r>
      <w:r w:rsidR="00A37423">
        <w:rPr>
          <w:rFonts w:ascii="仿宋_GB2312" w:hAnsi="仿宋_GB2312" w:cs="仿宋_GB2312" w:hint="eastAsia"/>
          <w:b/>
          <w:szCs w:val="32"/>
        </w:rPr>
        <w:t>三</w:t>
      </w:r>
      <w:r>
        <w:rPr>
          <w:rFonts w:ascii="仿宋_GB2312" w:hAnsi="仿宋_GB2312" w:cs="仿宋_GB2312" w:hint="eastAsia"/>
          <w:b/>
          <w:szCs w:val="32"/>
        </w:rPr>
        <w:t xml:space="preserve">条 </w:t>
      </w:r>
      <w:r>
        <w:rPr>
          <w:rFonts w:ascii="仿宋_GB2312" w:hAnsi="仿宋_GB2312" w:cs="仿宋_GB2312" w:hint="eastAsia"/>
          <w:szCs w:val="32"/>
        </w:rPr>
        <w:t>如接入极速交易系统的定制化交易系统发生需要升级程序的情况，则可能分为服务器程序完整升级，服务器程序补丁提交升级，客户端程序完整升级及策略文件升级四种升级方式。只要牵涉修改或调整我部托管服务器上的程序文件、策略文件的情况，就需由客户提交程序文件的升级申请，经信息技术总部批准后，由网络安全部专人对补丁及完整升级包进行安全扫描。之后由专职运维极速交易系统的人员来执行程序升级的相关操作</w:t>
      </w:r>
      <w:r>
        <w:rPr>
          <w:rFonts w:ascii="仿宋_GB2312" w:hAnsi="仿宋_GB2312" w:cs="仿宋_GB2312" w:hint="eastAsia"/>
          <w:b/>
          <w:szCs w:val="32"/>
        </w:rPr>
        <w:t>。详见附件2《系统升级申请》</w:t>
      </w:r>
      <w:r>
        <w:rPr>
          <w:rFonts w:ascii="仿宋_GB2312" w:hAnsi="仿宋_GB2312" w:cs="仿宋_GB2312" w:hint="eastAsia"/>
          <w:szCs w:val="32"/>
        </w:rPr>
        <w:t>。</w:t>
      </w:r>
    </w:p>
    <w:p w:rsidR="005D1552" w:rsidRDefault="005D1552">
      <w:pPr>
        <w:pStyle w:val="a3"/>
        <w:spacing w:line="360" w:lineRule="auto"/>
        <w:ind w:firstLineChars="200" w:firstLine="640"/>
      </w:pPr>
    </w:p>
    <w:p w:rsidR="005D1552" w:rsidRDefault="005D1552">
      <w:pPr>
        <w:pStyle w:val="a3"/>
        <w:spacing w:line="360" w:lineRule="auto"/>
        <w:ind w:firstLineChars="200" w:firstLine="640"/>
      </w:pPr>
    </w:p>
    <w:p w:rsidR="00A37423" w:rsidRDefault="00A37423">
      <w:pPr>
        <w:pStyle w:val="a3"/>
        <w:spacing w:line="360" w:lineRule="auto"/>
        <w:ind w:firstLineChars="200" w:firstLine="640"/>
        <w:rPr>
          <w:rFonts w:hint="eastAsia"/>
        </w:rPr>
      </w:pPr>
    </w:p>
    <w:p w:rsidR="005D1552" w:rsidRDefault="004B4A1C">
      <w:pPr>
        <w:spacing w:line="580" w:lineRule="exact"/>
        <w:rPr>
          <w:rFonts w:ascii="仿宋_GB2312" w:eastAsia="仿宋_GB2312" w:hAnsi="仿宋_GB2312" w:cs="仿宋_GB2312"/>
          <w:color w:val="FF0000"/>
          <w:sz w:val="32"/>
          <w:szCs w:val="32"/>
        </w:rPr>
      </w:pPr>
      <w:r>
        <w:rPr>
          <w:rFonts w:ascii="仿宋_GB2312" w:eastAsia="仿宋_GB2312" w:hAnsi="仿宋" w:hint="eastAsia"/>
          <w:b/>
          <w:color w:val="000000"/>
          <w:sz w:val="32"/>
          <w:szCs w:val="32"/>
        </w:rPr>
        <w:lastRenderedPageBreak/>
        <w:t>附件１：</w:t>
      </w:r>
    </w:p>
    <w:tbl>
      <w:tblPr>
        <w:tblW w:w="833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933"/>
        <w:gridCol w:w="6403"/>
      </w:tblGrid>
      <w:tr w:rsidR="005D1552">
        <w:trPr>
          <w:trHeight w:val="315"/>
        </w:trPr>
        <w:tc>
          <w:tcPr>
            <w:tcW w:w="8336" w:type="dxa"/>
            <w:gridSpan w:val="2"/>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测试总结报告</w:t>
            </w: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测试机构：</w:t>
            </w:r>
          </w:p>
        </w:tc>
        <w:tc>
          <w:tcPr>
            <w:tcW w:w="6403" w:type="dxa"/>
            <w:vAlign w:val="center"/>
          </w:tcPr>
          <w:p w:rsidR="005D1552" w:rsidRDefault="005D1552">
            <w:pPr>
              <w:jc w:val="center"/>
              <w:rPr>
                <w:rFonts w:ascii="仿宋" w:eastAsia="仿宋" w:hAnsi="仿宋" w:cs="仿宋"/>
                <w:color w:val="000000"/>
                <w:sz w:val="28"/>
                <w:szCs w:val="28"/>
              </w:rPr>
            </w:pP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公司类别：</w:t>
            </w:r>
          </w:p>
        </w:tc>
        <w:tc>
          <w:tcPr>
            <w:tcW w:w="6403" w:type="dxa"/>
            <w:vAlign w:val="center"/>
          </w:tcPr>
          <w:p w:rsidR="005D1552" w:rsidRDefault="005D1552">
            <w:pPr>
              <w:jc w:val="center"/>
              <w:rPr>
                <w:rFonts w:ascii="仿宋" w:eastAsia="仿宋" w:hAnsi="仿宋" w:cs="仿宋"/>
                <w:color w:val="000000"/>
                <w:sz w:val="28"/>
                <w:szCs w:val="28"/>
              </w:rPr>
            </w:pP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测试人员：</w:t>
            </w:r>
          </w:p>
        </w:tc>
        <w:tc>
          <w:tcPr>
            <w:tcW w:w="6403" w:type="dxa"/>
            <w:vAlign w:val="center"/>
          </w:tcPr>
          <w:p w:rsidR="005D1552" w:rsidRDefault="005D1552">
            <w:pPr>
              <w:jc w:val="center"/>
              <w:rPr>
                <w:rFonts w:ascii="仿宋" w:eastAsia="仿宋" w:hAnsi="仿宋" w:cs="仿宋"/>
                <w:color w:val="000000"/>
                <w:sz w:val="28"/>
                <w:szCs w:val="28"/>
              </w:rPr>
            </w:pP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测试时间：</w:t>
            </w:r>
          </w:p>
        </w:tc>
        <w:tc>
          <w:tcPr>
            <w:tcW w:w="6403" w:type="dxa"/>
            <w:vAlign w:val="center"/>
          </w:tcPr>
          <w:p w:rsidR="005D1552" w:rsidRDefault="004B4A1C">
            <w:pPr>
              <w:jc w:val="center"/>
              <w:rPr>
                <w:rFonts w:ascii="仿宋" w:eastAsia="仿宋" w:hAnsi="仿宋" w:cs="仿宋"/>
                <w:color w:val="000000"/>
                <w:sz w:val="28"/>
                <w:szCs w:val="28"/>
              </w:rPr>
            </w:pPr>
            <w:r>
              <w:rPr>
                <w:rFonts w:ascii="仿宋" w:eastAsia="仿宋" w:hAnsi="仿宋" w:cs="仿宋" w:hint="eastAsia"/>
                <w:color w:val="000000"/>
                <w:sz w:val="28"/>
                <w:szCs w:val="28"/>
              </w:rPr>
              <w:t>年    月    日——    年    月    日</w:t>
            </w:r>
          </w:p>
        </w:tc>
      </w:tr>
      <w:tr w:rsidR="005D1552">
        <w:trPr>
          <w:trHeight w:val="495"/>
        </w:trPr>
        <w:tc>
          <w:tcPr>
            <w:tcW w:w="1933" w:type="dxa"/>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测试环境：</w:t>
            </w:r>
          </w:p>
        </w:tc>
        <w:tc>
          <w:tcPr>
            <w:tcW w:w="6403" w:type="dxa"/>
            <w:vAlign w:val="center"/>
          </w:tcPr>
          <w:p w:rsidR="005D1552" w:rsidRDefault="005D1552">
            <w:pPr>
              <w:widowControl/>
              <w:jc w:val="center"/>
              <w:textAlignment w:val="center"/>
              <w:rPr>
                <w:rFonts w:ascii="仿宋" w:eastAsia="仿宋" w:hAnsi="仿宋" w:cs="仿宋"/>
                <w:color w:val="000000"/>
                <w:sz w:val="28"/>
                <w:szCs w:val="28"/>
              </w:rPr>
            </w:pPr>
          </w:p>
        </w:tc>
      </w:tr>
      <w:tr w:rsidR="005D1552">
        <w:trPr>
          <w:trHeight w:val="375"/>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测试系统：</w:t>
            </w:r>
          </w:p>
        </w:tc>
        <w:tc>
          <w:tcPr>
            <w:tcW w:w="6403" w:type="dxa"/>
            <w:vAlign w:val="center"/>
          </w:tcPr>
          <w:p w:rsidR="005D1552" w:rsidRDefault="005D1552">
            <w:pPr>
              <w:jc w:val="center"/>
              <w:rPr>
                <w:rFonts w:ascii="仿宋" w:eastAsia="仿宋" w:hAnsi="仿宋" w:cs="仿宋"/>
                <w:color w:val="000000"/>
                <w:sz w:val="28"/>
                <w:szCs w:val="28"/>
              </w:rPr>
            </w:pPr>
          </w:p>
        </w:tc>
      </w:tr>
      <w:tr w:rsidR="005D1552">
        <w:trPr>
          <w:trHeight w:val="1395"/>
        </w:trPr>
        <w:tc>
          <w:tcPr>
            <w:tcW w:w="1933" w:type="dxa"/>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测试内容：</w:t>
            </w:r>
          </w:p>
        </w:tc>
        <w:tc>
          <w:tcPr>
            <w:tcW w:w="6403" w:type="dxa"/>
            <w:vAlign w:val="center"/>
          </w:tcPr>
          <w:p w:rsidR="005D1552" w:rsidRDefault="005D1552">
            <w:pPr>
              <w:widowControl/>
              <w:jc w:val="center"/>
              <w:textAlignment w:val="center"/>
              <w:rPr>
                <w:rFonts w:ascii="仿宋" w:eastAsia="仿宋" w:hAnsi="仿宋" w:cs="仿宋"/>
                <w:color w:val="000000"/>
                <w:sz w:val="28"/>
                <w:szCs w:val="28"/>
              </w:rPr>
            </w:pPr>
          </w:p>
        </w:tc>
      </w:tr>
      <w:tr w:rsidR="005D1552">
        <w:trPr>
          <w:trHeight w:val="1665"/>
        </w:trPr>
        <w:tc>
          <w:tcPr>
            <w:tcW w:w="1933" w:type="dxa"/>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测试反馈：</w:t>
            </w:r>
          </w:p>
        </w:tc>
        <w:tc>
          <w:tcPr>
            <w:tcW w:w="6403" w:type="dxa"/>
            <w:vAlign w:val="center"/>
          </w:tcPr>
          <w:p w:rsidR="005D1552" w:rsidRDefault="005D1552">
            <w:pPr>
              <w:jc w:val="center"/>
              <w:rPr>
                <w:rFonts w:ascii="仿宋" w:eastAsia="仿宋" w:hAnsi="仿宋" w:cs="仿宋"/>
                <w:color w:val="000000"/>
                <w:sz w:val="28"/>
                <w:szCs w:val="28"/>
              </w:rPr>
            </w:pPr>
          </w:p>
        </w:tc>
      </w:tr>
      <w:tr w:rsidR="005D1552">
        <w:trPr>
          <w:trHeight w:val="1321"/>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测试人员签字：</w:t>
            </w:r>
          </w:p>
        </w:tc>
        <w:tc>
          <w:tcPr>
            <w:tcW w:w="6403" w:type="dxa"/>
            <w:vAlign w:val="center"/>
          </w:tcPr>
          <w:p w:rsidR="005D1552" w:rsidRDefault="005D1552">
            <w:pPr>
              <w:jc w:val="center"/>
              <w:rPr>
                <w:rFonts w:ascii="仿宋" w:eastAsia="仿宋" w:hAnsi="仿宋" w:cs="仿宋"/>
                <w:color w:val="000000"/>
                <w:sz w:val="28"/>
                <w:szCs w:val="28"/>
              </w:rPr>
            </w:pPr>
          </w:p>
        </w:tc>
      </w:tr>
      <w:tr w:rsidR="005D1552">
        <w:trPr>
          <w:trHeight w:val="1321"/>
        </w:trPr>
        <w:tc>
          <w:tcPr>
            <w:tcW w:w="1933" w:type="dxa"/>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机构用印</w:t>
            </w:r>
          </w:p>
        </w:tc>
        <w:tc>
          <w:tcPr>
            <w:tcW w:w="6403" w:type="dxa"/>
            <w:vAlign w:val="center"/>
          </w:tcPr>
          <w:p w:rsidR="005D1552" w:rsidRDefault="005D1552">
            <w:pPr>
              <w:jc w:val="center"/>
              <w:rPr>
                <w:rFonts w:ascii="仿宋" w:eastAsia="仿宋" w:hAnsi="仿宋" w:cs="仿宋"/>
                <w:color w:val="000000"/>
                <w:sz w:val="28"/>
                <w:szCs w:val="28"/>
              </w:rPr>
            </w:pPr>
          </w:p>
        </w:tc>
      </w:tr>
    </w:tbl>
    <w:p w:rsidR="005D1552" w:rsidRDefault="005D1552">
      <w:pPr>
        <w:pStyle w:val="a3"/>
        <w:spacing w:line="360" w:lineRule="auto"/>
        <w:ind w:left="600"/>
      </w:pPr>
    </w:p>
    <w:p w:rsidR="005D1552" w:rsidRDefault="005D1552">
      <w:pPr>
        <w:pStyle w:val="a3"/>
        <w:spacing w:line="360" w:lineRule="auto"/>
        <w:ind w:firstLineChars="200" w:firstLine="640"/>
      </w:pPr>
    </w:p>
    <w:p w:rsidR="005D1552" w:rsidRDefault="005D1552">
      <w:pPr>
        <w:pStyle w:val="a3"/>
        <w:spacing w:line="360" w:lineRule="auto"/>
        <w:ind w:firstLineChars="200" w:firstLine="640"/>
      </w:pPr>
    </w:p>
    <w:p w:rsidR="005D1552" w:rsidRDefault="005D1552">
      <w:pPr>
        <w:pStyle w:val="a3"/>
        <w:spacing w:line="360" w:lineRule="auto"/>
        <w:ind w:firstLineChars="200" w:firstLine="640"/>
      </w:pPr>
    </w:p>
    <w:p w:rsidR="005D1552" w:rsidRDefault="004B4A1C">
      <w:pPr>
        <w:spacing w:line="580" w:lineRule="exact"/>
        <w:rPr>
          <w:rFonts w:ascii="仿宋_GB2312" w:eastAsia="仿宋_GB2312" w:hAnsi="仿宋_GB2312" w:cs="仿宋_GB2312"/>
          <w:color w:val="FF0000"/>
          <w:sz w:val="32"/>
          <w:szCs w:val="32"/>
        </w:rPr>
      </w:pPr>
      <w:r>
        <w:rPr>
          <w:rFonts w:ascii="仿宋_GB2312" w:eastAsia="仿宋_GB2312" w:hAnsi="仿宋" w:hint="eastAsia"/>
          <w:b/>
          <w:color w:val="000000"/>
          <w:sz w:val="32"/>
          <w:szCs w:val="32"/>
        </w:rPr>
        <w:lastRenderedPageBreak/>
        <w:t>附件２：</w:t>
      </w:r>
    </w:p>
    <w:tbl>
      <w:tblPr>
        <w:tblW w:w="833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933"/>
        <w:gridCol w:w="2134"/>
        <w:gridCol w:w="2134"/>
        <w:gridCol w:w="2135"/>
      </w:tblGrid>
      <w:tr w:rsidR="005D1552">
        <w:trPr>
          <w:trHeight w:val="315"/>
        </w:trPr>
        <w:tc>
          <w:tcPr>
            <w:tcW w:w="8336" w:type="dxa"/>
            <w:gridSpan w:val="4"/>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sz w:val="28"/>
                <w:szCs w:val="28"/>
              </w:rPr>
              <w:t>系统升级申请</w:t>
            </w: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升级系统：</w:t>
            </w:r>
          </w:p>
        </w:tc>
        <w:tc>
          <w:tcPr>
            <w:tcW w:w="6403" w:type="dxa"/>
            <w:gridSpan w:val="3"/>
            <w:vAlign w:val="center"/>
          </w:tcPr>
          <w:p w:rsidR="005D1552" w:rsidRDefault="005D1552">
            <w:pPr>
              <w:jc w:val="center"/>
              <w:rPr>
                <w:rFonts w:ascii="仿宋" w:eastAsia="仿宋" w:hAnsi="仿宋" w:cs="仿宋"/>
                <w:color w:val="000000"/>
                <w:sz w:val="28"/>
                <w:szCs w:val="28"/>
              </w:rPr>
            </w:pP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升级内容：</w:t>
            </w:r>
          </w:p>
        </w:tc>
        <w:tc>
          <w:tcPr>
            <w:tcW w:w="6403" w:type="dxa"/>
            <w:gridSpan w:val="3"/>
            <w:vAlign w:val="center"/>
          </w:tcPr>
          <w:p w:rsidR="005D1552" w:rsidRDefault="005D1552">
            <w:pPr>
              <w:jc w:val="center"/>
              <w:rPr>
                <w:rFonts w:ascii="仿宋" w:eastAsia="仿宋" w:hAnsi="仿宋" w:cs="仿宋"/>
                <w:color w:val="000000"/>
                <w:sz w:val="28"/>
                <w:szCs w:val="28"/>
              </w:rPr>
            </w:pP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升级方名称：</w:t>
            </w:r>
          </w:p>
        </w:tc>
        <w:tc>
          <w:tcPr>
            <w:tcW w:w="6403" w:type="dxa"/>
            <w:gridSpan w:val="3"/>
            <w:vAlign w:val="center"/>
          </w:tcPr>
          <w:p w:rsidR="005D1552" w:rsidRDefault="005D1552">
            <w:pPr>
              <w:jc w:val="center"/>
              <w:rPr>
                <w:rFonts w:ascii="仿宋" w:eastAsia="仿宋" w:hAnsi="仿宋" w:cs="仿宋"/>
                <w:color w:val="000000"/>
                <w:sz w:val="28"/>
                <w:szCs w:val="28"/>
              </w:rPr>
            </w:pP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升级方人员：</w:t>
            </w:r>
          </w:p>
        </w:tc>
        <w:tc>
          <w:tcPr>
            <w:tcW w:w="6403" w:type="dxa"/>
            <w:gridSpan w:val="3"/>
            <w:vAlign w:val="center"/>
          </w:tcPr>
          <w:p w:rsidR="005D1552" w:rsidRDefault="005D1552">
            <w:pPr>
              <w:jc w:val="center"/>
              <w:rPr>
                <w:rFonts w:ascii="仿宋" w:eastAsia="仿宋" w:hAnsi="仿宋" w:cs="仿宋"/>
                <w:color w:val="000000"/>
                <w:sz w:val="28"/>
                <w:szCs w:val="28"/>
              </w:rPr>
            </w:pP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升级方式</w:t>
            </w:r>
          </w:p>
        </w:tc>
        <w:tc>
          <w:tcPr>
            <w:tcW w:w="6403" w:type="dxa"/>
            <w:gridSpan w:val="3"/>
            <w:vAlign w:val="center"/>
          </w:tcPr>
          <w:p w:rsidR="005D1552" w:rsidRDefault="004B4A1C">
            <w:pPr>
              <w:rPr>
                <w:rFonts w:ascii="仿宋" w:eastAsia="仿宋" w:hAnsi="仿宋" w:cs="仿宋"/>
                <w:color w:val="000000"/>
                <w:sz w:val="28"/>
                <w:szCs w:val="28"/>
              </w:rPr>
            </w:pPr>
            <w:r>
              <w:rPr>
                <w:rFonts w:ascii="仿宋" w:eastAsia="仿宋" w:hAnsi="仿宋" w:cs="仿宋" w:hint="eastAsia"/>
                <w:color w:val="000000"/>
                <w:sz w:val="28"/>
                <w:szCs w:val="28"/>
              </w:rPr>
              <w:t xml:space="preserve">□服务器程序完整升级   □服务器程序补丁升级   </w:t>
            </w:r>
          </w:p>
          <w:p w:rsidR="005D1552" w:rsidRDefault="004B4A1C">
            <w:pPr>
              <w:rPr>
                <w:rFonts w:ascii="仿宋" w:eastAsia="仿宋" w:hAnsi="仿宋" w:cs="仿宋"/>
                <w:color w:val="000000"/>
                <w:sz w:val="28"/>
                <w:szCs w:val="28"/>
              </w:rPr>
            </w:pPr>
            <w:r>
              <w:rPr>
                <w:rFonts w:ascii="仿宋" w:eastAsia="仿宋" w:hAnsi="仿宋" w:cs="仿宋" w:hint="eastAsia"/>
                <w:color w:val="000000"/>
                <w:sz w:val="28"/>
                <w:szCs w:val="28"/>
              </w:rPr>
              <w:t>□客户端程序完整升级</w:t>
            </w:r>
          </w:p>
        </w:tc>
      </w:tr>
      <w:tr w:rsidR="005D1552">
        <w:trPr>
          <w:trHeight w:val="510"/>
        </w:trPr>
        <w:tc>
          <w:tcPr>
            <w:tcW w:w="1933" w:type="dxa"/>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升级时间：</w:t>
            </w:r>
          </w:p>
        </w:tc>
        <w:tc>
          <w:tcPr>
            <w:tcW w:w="6403" w:type="dxa"/>
            <w:gridSpan w:val="3"/>
            <w:vAlign w:val="center"/>
          </w:tcPr>
          <w:p w:rsidR="005D1552" w:rsidRDefault="004B4A1C">
            <w:pPr>
              <w:ind w:firstLineChars="600" w:firstLine="1680"/>
              <w:rPr>
                <w:rFonts w:ascii="仿宋" w:eastAsia="仿宋" w:hAnsi="仿宋" w:cs="仿宋"/>
                <w:color w:val="000000"/>
                <w:sz w:val="28"/>
                <w:szCs w:val="28"/>
              </w:rPr>
            </w:pPr>
            <w:r>
              <w:rPr>
                <w:rFonts w:ascii="仿宋" w:eastAsia="仿宋" w:hAnsi="仿宋" w:cs="仿宋" w:hint="eastAsia"/>
                <w:color w:val="000000"/>
                <w:sz w:val="28"/>
                <w:szCs w:val="28"/>
              </w:rPr>
              <w:t>年    月    日</w:t>
            </w:r>
          </w:p>
        </w:tc>
      </w:tr>
      <w:tr w:rsidR="005D1552">
        <w:trPr>
          <w:trHeight w:val="495"/>
        </w:trPr>
        <w:tc>
          <w:tcPr>
            <w:tcW w:w="1933" w:type="dxa"/>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升级前版本：</w:t>
            </w:r>
          </w:p>
        </w:tc>
        <w:tc>
          <w:tcPr>
            <w:tcW w:w="2134" w:type="dxa"/>
            <w:vAlign w:val="center"/>
          </w:tcPr>
          <w:p w:rsidR="005D1552" w:rsidRDefault="005D1552">
            <w:pPr>
              <w:widowControl/>
              <w:jc w:val="center"/>
              <w:textAlignment w:val="center"/>
              <w:rPr>
                <w:rFonts w:ascii="仿宋" w:eastAsia="仿宋" w:hAnsi="仿宋" w:cs="仿宋"/>
                <w:color w:val="000000"/>
                <w:sz w:val="28"/>
                <w:szCs w:val="28"/>
              </w:rPr>
            </w:pPr>
          </w:p>
        </w:tc>
        <w:tc>
          <w:tcPr>
            <w:tcW w:w="2134" w:type="dxa"/>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升级后版本：</w:t>
            </w:r>
          </w:p>
        </w:tc>
        <w:tc>
          <w:tcPr>
            <w:tcW w:w="2135" w:type="dxa"/>
            <w:vAlign w:val="center"/>
          </w:tcPr>
          <w:p w:rsidR="005D1552" w:rsidRDefault="005D1552">
            <w:pPr>
              <w:widowControl/>
              <w:jc w:val="center"/>
              <w:textAlignment w:val="center"/>
              <w:rPr>
                <w:rFonts w:ascii="仿宋" w:eastAsia="仿宋" w:hAnsi="仿宋" w:cs="仿宋"/>
                <w:color w:val="000000"/>
                <w:sz w:val="28"/>
                <w:szCs w:val="28"/>
              </w:rPr>
            </w:pPr>
          </w:p>
        </w:tc>
      </w:tr>
      <w:tr w:rsidR="005D1552">
        <w:trPr>
          <w:trHeight w:val="1321"/>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申请人签字：</w:t>
            </w:r>
          </w:p>
        </w:tc>
        <w:tc>
          <w:tcPr>
            <w:tcW w:w="6403" w:type="dxa"/>
            <w:gridSpan w:val="3"/>
            <w:vAlign w:val="center"/>
          </w:tcPr>
          <w:p w:rsidR="005D1552" w:rsidRDefault="005D1552">
            <w:pPr>
              <w:jc w:val="center"/>
              <w:rPr>
                <w:rFonts w:ascii="仿宋" w:eastAsia="仿宋" w:hAnsi="仿宋" w:cs="仿宋"/>
                <w:color w:val="000000"/>
                <w:sz w:val="28"/>
                <w:szCs w:val="28"/>
              </w:rPr>
            </w:pPr>
          </w:p>
        </w:tc>
      </w:tr>
      <w:tr w:rsidR="005D1552">
        <w:trPr>
          <w:trHeight w:val="1321"/>
        </w:trPr>
        <w:tc>
          <w:tcPr>
            <w:tcW w:w="1933" w:type="dxa"/>
            <w:vAlign w:val="center"/>
          </w:tcPr>
          <w:p w:rsidR="005D1552" w:rsidRDefault="004B4A1C">
            <w:pPr>
              <w:widowControl/>
              <w:jc w:val="center"/>
              <w:textAlignment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执行人签字：</w:t>
            </w:r>
          </w:p>
        </w:tc>
        <w:tc>
          <w:tcPr>
            <w:tcW w:w="6403" w:type="dxa"/>
            <w:gridSpan w:val="3"/>
            <w:vAlign w:val="center"/>
          </w:tcPr>
          <w:p w:rsidR="005D1552" w:rsidRDefault="005D1552">
            <w:pPr>
              <w:jc w:val="center"/>
              <w:rPr>
                <w:rFonts w:ascii="仿宋" w:eastAsia="仿宋" w:hAnsi="仿宋" w:cs="仿宋"/>
                <w:color w:val="000000"/>
                <w:sz w:val="28"/>
                <w:szCs w:val="28"/>
              </w:rPr>
            </w:pPr>
          </w:p>
        </w:tc>
      </w:tr>
      <w:tr w:rsidR="005D1552">
        <w:trPr>
          <w:trHeight w:val="1321"/>
        </w:trPr>
        <w:tc>
          <w:tcPr>
            <w:tcW w:w="1933" w:type="dxa"/>
            <w:vAlign w:val="center"/>
          </w:tcPr>
          <w:p w:rsidR="005D1552" w:rsidRDefault="004B4A1C">
            <w:pPr>
              <w:widowControl/>
              <w:jc w:val="center"/>
              <w:textAlignment w:val="center"/>
              <w:rPr>
                <w:rFonts w:ascii="仿宋" w:eastAsia="仿宋" w:hAnsi="仿宋" w:cs="仿宋"/>
                <w:color w:val="000000"/>
                <w:sz w:val="28"/>
                <w:szCs w:val="28"/>
              </w:rPr>
            </w:pPr>
            <w:r>
              <w:rPr>
                <w:rFonts w:ascii="仿宋" w:eastAsia="仿宋" w:hAnsi="仿宋" w:cs="仿宋" w:hint="eastAsia"/>
                <w:color w:val="000000"/>
                <w:kern w:val="0"/>
                <w:sz w:val="28"/>
                <w:szCs w:val="28"/>
              </w:rPr>
              <w:t>机构用印</w:t>
            </w:r>
          </w:p>
        </w:tc>
        <w:tc>
          <w:tcPr>
            <w:tcW w:w="6403" w:type="dxa"/>
            <w:gridSpan w:val="3"/>
            <w:vAlign w:val="center"/>
          </w:tcPr>
          <w:p w:rsidR="005D1552" w:rsidRDefault="005D1552">
            <w:pPr>
              <w:jc w:val="center"/>
              <w:rPr>
                <w:rFonts w:ascii="仿宋" w:eastAsia="仿宋" w:hAnsi="仿宋" w:cs="仿宋"/>
                <w:color w:val="000000"/>
                <w:sz w:val="28"/>
                <w:szCs w:val="28"/>
              </w:rPr>
            </w:pPr>
          </w:p>
        </w:tc>
      </w:tr>
    </w:tbl>
    <w:p w:rsidR="005D1552" w:rsidRDefault="005D1552">
      <w:pPr>
        <w:pStyle w:val="a3"/>
        <w:spacing w:line="360" w:lineRule="auto"/>
        <w:ind w:firstLineChars="200" w:firstLine="640"/>
        <w:rPr>
          <w:rFonts w:ascii="仿宋_GB2312" w:hAnsi="仿宋_GB2312" w:cs="仿宋_GB2312"/>
          <w:szCs w:val="32"/>
        </w:rPr>
      </w:pPr>
    </w:p>
    <w:p w:rsidR="005D1552" w:rsidRDefault="005D1552">
      <w:pPr>
        <w:pStyle w:val="a3"/>
        <w:spacing w:line="360" w:lineRule="auto"/>
        <w:ind w:firstLineChars="200" w:firstLine="640"/>
        <w:rPr>
          <w:rFonts w:ascii="仿宋_GB2312" w:hAnsi="仿宋_GB2312" w:cs="仿宋_GB2312"/>
          <w:szCs w:val="32"/>
        </w:rPr>
      </w:pPr>
    </w:p>
    <w:p w:rsidR="005D1552" w:rsidRDefault="005D1552">
      <w:pPr>
        <w:pStyle w:val="a3"/>
        <w:spacing w:line="360" w:lineRule="auto"/>
        <w:ind w:firstLineChars="200" w:firstLine="640"/>
        <w:rPr>
          <w:rFonts w:ascii="仿宋_GB2312" w:hAnsi="仿宋_GB2312" w:cs="仿宋_GB2312"/>
          <w:szCs w:val="32"/>
        </w:rPr>
      </w:pPr>
    </w:p>
    <w:sectPr w:rsidR="005D1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086" w:rsidRDefault="00947086" w:rsidP="00DA07CA">
      <w:r>
        <w:separator/>
      </w:r>
    </w:p>
  </w:endnote>
  <w:endnote w:type="continuationSeparator" w:id="0">
    <w:p w:rsidR="00947086" w:rsidRDefault="00947086" w:rsidP="00DA0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086" w:rsidRDefault="00947086" w:rsidP="00DA07CA">
      <w:r>
        <w:separator/>
      </w:r>
    </w:p>
  </w:footnote>
  <w:footnote w:type="continuationSeparator" w:id="0">
    <w:p w:rsidR="00947086" w:rsidRDefault="00947086" w:rsidP="00DA0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C49EB"/>
    <w:multiLevelType w:val="multilevel"/>
    <w:tmpl w:val="145C49EB"/>
    <w:lvl w:ilvl="0">
      <w:start w:val="1"/>
      <w:numFmt w:val="decimal"/>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54DB2C27"/>
    <w:multiLevelType w:val="hybridMultilevel"/>
    <w:tmpl w:val="72303F7E"/>
    <w:lvl w:ilvl="0" w:tplc="35EAC1D4">
      <w:start w:val="1"/>
      <w:numFmt w:val="japaneseCounting"/>
      <w:lvlText w:val="第%1章"/>
      <w:lvlJc w:val="left"/>
      <w:pPr>
        <w:ind w:left="4177" w:hanging="1125"/>
      </w:pPr>
      <w:rPr>
        <w:rFonts w:hint="default"/>
      </w:rPr>
    </w:lvl>
    <w:lvl w:ilvl="1" w:tplc="04090019" w:tentative="1">
      <w:start w:val="1"/>
      <w:numFmt w:val="lowerLetter"/>
      <w:lvlText w:val="%2)"/>
      <w:lvlJc w:val="left"/>
      <w:pPr>
        <w:ind w:left="3892" w:hanging="420"/>
      </w:pPr>
    </w:lvl>
    <w:lvl w:ilvl="2" w:tplc="0409001B" w:tentative="1">
      <w:start w:val="1"/>
      <w:numFmt w:val="lowerRoman"/>
      <w:lvlText w:val="%3."/>
      <w:lvlJc w:val="right"/>
      <w:pPr>
        <w:ind w:left="4312" w:hanging="420"/>
      </w:pPr>
    </w:lvl>
    <w:lvl w:ilvl="3" w:tplc="0409000F" w:tentative="1">
      <w:start w:val="1"/>
      <w:numFmt w:val="decimal"/>
      <w:lvlText w:val="%4."/>
      <w:lvlJc w:val="left"/>
      <w:pPr>
        <w:ind w:left="4732" w:hanging="420"/>
      </w:pPr>
    </w:lvl>
    <w:lvl w:ilvl="4" w:tplc="04090019" w:tentative="1">
      <w:start w:val="1"/>
      <w:numFmt w:val="lowerLetter"/>
      <w:lvlText w:val="%5)"/>
      <w:lvlJc w:val="left"/>
      <w:pPr>
        <w:ind w:left="5152" w:hanging="420"/>
      </w:pPr>
    </w:lvl>
    <w:lvl w:ilvl="5" w:tplc="0409001B" w:tentative="1">
      <w:start w:val="1"/>
      <w:numFmt w:val="lowerRoman"/>
      <w:lvlText w:val="%6."/>
      <w:lvlJc w:val="right"/>
      <w:pPr>
        <w:ind w:left="5572" w:hanging="420"/>
      </w:pPr>
    </w:lvl>
    <w:lvl w:ilvl="6" w:tplc="0409000F" w:tentative="1">
      <w:start w:val="1"/>
      <w:numFmt w:val="decimal"/>
      <w:lvlText w:val="%7."/>
      <w:lvlJc w:val="left"/>
      <w:pPr>
        <w:ind w:left="5992" w:hanging="420"/>
      </w:pPr>
    </w:lvl>
    <w:lvl w:ilvl="7" w:tplc="04090019" w:tentative="1">
      <w:start w:val="1"/>
      <w:numFmt w:val="lowerLetter"/>
      <w:lvlText w:val="%8)"/>
      <w:lvlJc w:val="left"/>
      <w:pPr>
        <w:ind w:left="6412" w:hanging="420"/>
      </w:pPr>
    </w:lvl>
    <w:lvl w:ilvl="8" w:tplc="0409001B" w:tentative="1">
      <w:start w:val="1"/>
      <w:numFmt w:val="lowerRoman"/>
      <w:lvlText w:val="%9."/>
      <w:lvlJc w:val="right"/>
      <w:pPr>
        <w:ind w:left="683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3C"/>
    <w:rsid w:val="00070B7D"/>
    <w:rsid w:val="000C51F8"/>
    <w:rsid w:val="000D204C"/>
    <w:rsid w:val="001A77B8"/>
    <w:rsid w:val="002B45B7"/>
    <w:rsid w:val="002C3FAB"/>
    <w:rsid w:val="003269CE"/>
    <w:rsid w:val="00332E65"/>
    <w:rsid w:val="003C6A5C"/>
    <w:rsid w:val="00414F94"/>
    <w:rsid w:val="00440D0E"/>
    <w:rsid w:val="004B4A1C"/>
    <w:rsid w:val="004D01F8"/>
    <w:rsid w:val="00553D71"/>
    <w:rsid w:val="0059609E"/>
    <w:rsid w:val="005C4225"/>
    <w:rsid w:val="005D1552"/>
    <w:rsid w:val="00673729"/>
    <w:rsid w:val="006C2FE7"/>
    <w:rsid w:val="006D380D"/>
    <w:rsid w:val="006D5D38"/>
    <w:rsid w:val="00780DFD"/>
    <w:rsid w:val="00783590"/>
    <w:rsid w:val="007C3DC7"/>
    <w:rsid w:val="00832625"/>
    <w:rsid w:val="008654B1"/>
    <w:rsid w:val="008D45CC"/>
    <w:rsid w:val="00947086"/>
    <w:rsid w:val="00951C0D"/>
    <w:rsid w:val="009A6304"/>
    <w:rsid w:val="00A37423"/>
    <w:rsid w:val="00AD00BA"/>
    <w:rsid w:val="00AE26D1"/>
    <w:rsid w:val="00B240BA"/>
    <w:rsid w:val="00B34420"/>
    <w:rsid w:val="00B97086"/>
    <w:rsid w:val="00BA3B80"/>
    <w:rsid w:val="00BA4E01"/>
    <w:rsid w:val="00BD0A4E"/>
    <w:rsid w:val="00BE70E7"/>
    <w:rsid w:val="00C03535"/>
    <w:rsid w:val="00C214CE"/>
    <w:rsid w:val="00C27CAC"/>
    <w:rsid w:val="00C91F2E"/>
    <w:rsid w:val="00D637F5"/>
    <w:rsid w:val="00DA07CA"/>
    <w:rsid w:val="00DA263C"/>
    <w:rsid w:val="00DA3F38"/>
    <w:rsid w:val="00E627E9"/>
    <w:rsid w:val="00EE6FB4"/>
    <w:rsid w:val="00F14B40"/>
    <w:rsid w:val="13531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594AB"/>
  <w15:docId w15:val="{817D24D3-6C06-4310-944A-DF2A00CA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
    <w:rPr>
      <w:rFonts w:ascii="宋体" w:eastAsia="仿宋_GB2312" w:hAnsi="Courier New" w:cs="黑体"/>
      <w:sz w:val="32"/>
    </w:r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
    <w:name w:val="纯文本 字符1"/>
    <w:link w:val="a3"/>
    <w:qFormat/>
    <w:rPr>
      <w:rFonts w:ascii="宋体" w:eastAsia="仿宋_GB2312" w:hAnsi="Courier New" w:cs="黑体"/>
      <w:sz w:val="32"/>
    </w:rPr>
  </w:style>
  <w:style w:type="character" w:customStyle="1" w:styleId="aa">
    <w:name w:val="纯文本 字符"/>
    <w:basedOn w:val="a0"/>
    <w:uiPriority w:val="99"/>
    <w:semiHidden/>
    <w:rPr>
      <w:rFonts w:asciiTheme="minorEastAsia" w:hAnsi="Courier New" w:cs="Courier New"/>
    </w:rPr>
  </w:style>
  <w:style w:type="paragraph" w:customStyle="1" w:styleId="10">
    <w:name w:val="列出段落1"/>
    <w:basedOn w:val="a"/>
    <w:uiPriority w:val="34"/>
    <w:qFormat/>
    <w:pPr>
      <w:ind w:firstLineChars="200" w:firstLine="420"/>
    </w:p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vip89</dc:creator>
  <cp:lastModifiedBy>vip89</cp:lastModifiedBy>
  <cp:revision>11</cp:revision>
  <dcterms:created xsi:type="dcterms:W3CDTF">2017-01-11T09:17:00Z</dcterms:created>
  <dcterms:modified xsi:type="dcterms:W3CDTF">2017-01-26T03:26:00Z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