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eastAsia="Courier New" w:ascii="Times New Roman" w:hAnsi="Times New Roman"/>
          <w:sz w:val="24"/>
          <w:szCs w:val="24"/>
        </w:rPr>
        <w:t>Приложение</w:t>
      </w:r>
    </w:p>
    <w:p>
      <w:pPr>
        <w:pStyle w:val="Normal"/>
        <w:widowControl w:val="false"/>
        <w:bidi w:val="0"/>
        <w:jc w:val="end"/>
        <w:rPr/>
      </w:pPr>
      <w:r>
        <w:rPr/>
        <w:t>к стандарту безопасности труда</w:t>
      </w:r>
    </w:p>
    <w:p>
      <w:pPr>
        <w:pStyle w:val="Normal"/>
        <w:widowControl w:val="false"/>
        <w:bidi w:val="0"/>
        <w:jc w:val="end"/>
        <w:rPr/>
      </w:pPr>
      <w:r>
        <w:rPr/>
        <w:t>"Обеспечение работников</w:t>
      </w:r>
    </w:p>
    <w:p>
      <w:pPr>
        <w:pStyle w:val="Normal"/>
        <w:widowControl w:val="false"/>
        <w:bidi w:val="0"/>
        <w:jc w:val="end"/>
        <w:rPr/>
      </w:pPr>
      <w:r>
        <w:rPr/>
        <w:t>смывающими и (или) обезвреживающими</w:t>
      </w:r>
    </w:p>
    <w:p>
      <w:pPr>
        <w:pStyle w:val="Normal"/>
        <w:widowControl w:val="false"/>
        <w:bidi w:val="0"/>
        <w:jc w:val="end"/>
        <w:rPr/>
      </w:pPr>
      <w:r>
        <w:rPr/>
        <w:t>средствами", утвержденному Приказом</w:t>
      </w:r>
    </w:p>
    <w:p>
      <w:pPr>
        <w:pStyle w:val="Normal"/>
        <w:widowControl w:val="false"/>
        <w:bidi w:val="0"/>
        <w:jc w:val="end"/>
        <w:rPr/>
      </w:pPr>
      <w:r>
        <w:rPr/>
        <w:t>Минздравсоцразвития России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ab/>
        <w:tab/>
        <w:tab/>
        <w:tab/>
        <w:tab/>
        <w:tab/>
        <w:tab/>
        <w:tab/>
        <w:t xml:space="preserve">     </w:t>
      </w:r>
      <w:r>
        <w:rPr>
          <w:rFonts w:eastAsia="Courier New" w:ascii="Times New Roman" w:hAnsi="Times New Roman"/>
          <w:sz w:val="24"/>
          <w:szCs w:val="24"/>
        </w:rPr>
        <w:t>от 17 декабря 2010 г. N 1122н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</w:t>
      </w:r>
      <w:r>
        <w:rPr>
          <w:rFonts w:eastAsia="Courier New"/>
        </w:rPr>
        <w:tab/>
        <w:tab/>
        <w:tab/>
        <w:tab/>
      </w:r>
    </w:p>
    <w:p>
      <w:pPr>
        <w:pStyle w:val="ConsPlusNonformat"/>
        <w:bidi w:val="0"/>
        <w:jc w:val="center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center"/>
        <w:rPr/>
      </w:pPr>
      <w:r>
        <w:rPr>
          <w:rFonts w:eastAsia="Courier New"/>
        </w:rPr>
        <w:tab/>
        <w:tab/>
      </w:r>
      <w:r>
        <w:rPr/>
        <w:t>ЛИЧНАЯ КАРТОЧКА N ____</w:t>
      </w:r>
    </w:p>
    <w:p>
      <w:pPr>
        <w:pStyle w:val="ConsPlusNonformat"/>
        <w:bidi w:val="0"/>
        <w:jc w:val="center"/>
        <w:rPr/>
      </w:pPr>
      <w:r>
        <w:rPr>
          <w:rFonts w:eastAsia="Courier New"/>
        </w:rPr>
        <w:t xml:space="preserve">          </w:t>
      </w:r>
      <w:r>
        <w:rPr/>
        <w:t>УЧЕТА ВЫДАЧИ СМЫВАЮЩИХ И (ИЛИ) ОБЕЗВРЕЖИВАЮЩИХ СРЕДСТВ</w:t>
      </w:r>
    </w:p>
    <w:p>
      <w:pPr>
        <w:pStyle w:val="ConsPlusNonformat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 xml:space="preserve">Фамилия </w:t>
      </w:r>
      <w:r>
        <w:rPr>
          <w:u w:val="single"/>
        </w:rPr>
        <w:t xml:space="preserve">eqrgerg</w:t>
      </w:r>
      <w:r>
        <w:rPr>
          <w:rFonts w:eastAsia="Times New Roman" w:cs="Courier New"/>
          <w:sz w:val="20"/>
          <w:szCs w:val="20"/>
          <w:u w:val="single"/>
          <w:lang w:eastAsia="ru-RU"/>
        </w:rPr>
        <w:t/>
      </w:r>
      <w:r>
        <w:rPr>
          <w:u w:val="single"/>
        </w:rPr>
        <w:t/>
      </w:r>
      <w:r>
        <w:rPr/>
        <w:t xml:space="preserve"> </w:t>
      </w:r>
    </w:p>
    <w:p>
      <w:pPr>
        <w:pStyle w:val="ConsPlusNonformat"/>
        <w:bidi w:val="0"/>
        <w:jc w:val="start"/>
        <w:rPr/>
      </w:pPr>
      <w:r>
        <w:rPr/>
        <w:t xml:space="preserve">Имя </w:t>
      </w:r>
      <w:r>
        <w:rPr>
          <w:rFonts w:eastAsia="Times New Roman" w:cs="Courier New"/>
          <w:sz w:val="20"/>
          <w:szCs w:val="20"/>
          <w:u w:val="single"/>
          <w:lang w:eastAsia="ru-RU"/>
        </w:rPr>
        <w:t xml:space="preserve">dg</w:t>
      </w:r>
    </w:p>
    <w:p>
      <w:pPr>
        <w:pStyle w:val="ConsPlusNonformat"/>
        <w:bidi w:val="0"/>
        <w:jc w:val="start"/>
        <w:rPr/>
      </w:pPr>
      <w:r>
        <w:rPr/>
        <w:t xml:space="preserve">Отчество (при наличии) </w:t>
      </w:r>
      <w:r>
        <w:rPr>
          <w:rFonts w:eastAsia="Times New Roman" w:cs="Courier New"/>
          <w:sz w:val="20"/>
          <w:szCs w:val="20"/>
          <w:u w:val="single"/>
          <w:lang w:eastAsia="ru-RU"/>
        </w:rPr>
        <w:t xml:space="preserve">ergr</w:t>
      </w:r>
      <w:r>
        <w:rPr/>
        <w:t xml:space="preserve"> </w:t>
      </w:r>
    </w:p>
    <w:p>
      <w:pPr>
        <w:pStyle w:val="ConsPlusNonformat"/>
        <w:bidi w:val="0"/>
        <w:jc w:val="start"/>
        <w:rPr/>
      </w:pPr>
      <w:r>
        <w:rPr/>
        <w:t>Табельный номер _____________</w:t>
      </w:r>
    </w:p>
    <w:p>
      <w:pPr>
        <w:pStyle w:val="ConsPlusNonformat"/>
        <w:bidi w:val="0"/>
        <w:jc w:val="start"/>
        <w:rPr/>
      </w:pPr>
      <w:r>
        <w:rPr/>
        <w:t xml:space="preserve">Структурное подразделение </w:t>
      </w:r>
      <w:r>
        <w:rPr>
          <w:rFonts w:eastAsia="Times New Roman" w:cs="Courier New"/>
          <w:color w:val="auto"/>
          <w:sz w:val="20"/>
          <w:szCs w:val="20"/>
          <w:lang w:val="ru-RU" w:bidi="ar-SA"/>
        </w:rPr>
        <w:t xml:space="preserve">dsvsdv</w:t>
      </w:r>
      <w:r>
        <w:rPr>
          <w:rFonts w:eastAsia="Times New Roman" w:cs="Courier New"/>
          <w:color w:val="auto"/>
          <w:sz w:val="20"/>
          <w:szCs w:val="20"/>
          <w:u w:val="single"/>
          <w:lang w:val="ru-RU" w:bidi="ar-SA"/>
        </w:rPr>
        <w:t/>
      </w:r>
      <w:r>
        <w:rPr>
          <w:rFonts w:eastAsia="Times New Roman" w:cs="Courier New"/>
          <w:color w:val="auto"/>
          <w:sz w:val="20"/>
          <w:szCs w:val="20"/>
          <w:lang w:val="ru-RU" w:bidi="ar-SA"/>
        </w:rPr>
        <w:t/>
      </w:r>
    </w:p>
    <w:p>
      <w:pPr>
        <w:pStyle w:val="ConsPlusNonformat"/>
        <w:bidi w:val="0"/>
        <w:jc w:val="start"/>
        <w:rPr/>
      </w:pPr>
      <w:r>
        <w:rPr/>
        <w:t xml:space="preserve">Профессия (должность) </w:t>
      </w:r>
      <w:r>
        <w:rPr>
          <w:rFonts w:eastAsia="Times New Roman" w:cs="Courier New"/>
          <w:sz w:val="20"/>
          <w:szCs w:val="20"/>
          <w:u w:val="single"/>
          <w:lang w:eastAsia="ru-RU"/>
        </w:rPr>
        <w:t xml:space="preserve">sdvsdv</w:t>
      </w:r>
      <w:bookmarkStart w:id="0" w:name="__DdeLink__526_1140126253"/>
      <w:bookmarkStart w:id="1" w:name="__DdeLink__1113_345415917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/>
      </w:r>
      <w:bookmarkEnd w:id="0"/>
      <w:bookmarkEnd w:id="1"/>
      <w:r>
        <w:rPr>
          <w:rFonts w:eastAsia="Times New Roman" w:cs="Courier New"/>
          <w:sz w:val="20"/>
          <w:szCs w:val="20"/>
          <w:u w:val="single"/>
          <w:lang w:eastAsia="ru-RU"/>
        </w:rPr>
        <w:t/>
      </w:r>
      <w:r>
        <w:rPr/>
        <w:t xml:space="preserve"> </w:t>
      </w:r>
    </w:p>
    <w:p>
      <w:pPr>
        <w:pStyle w:val="ConsPlusNonformat"/>
        <w:bidi w:val="0"/>
        <w:jc w:val="start"/>
        <w:rPr/>
      </w:pPr>
      <w:r>
        <w:rPr/>
        <w:t xml:space="preserve">Дата поступления на работу </w:t>
      </w:r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 xml:space="preserve">2345-03-31</w:t>
      </w:r>
      <w:bookmarkStart w:id="2" w:name="__DdeLink__1530_345415917"/>
      <w:bookmarkStart w:id="3" w:name="__DdeLink__1115_345415917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/>
      </w:r>
      <w:bookmarkEnd w:id="2"/>
      <w:bookmarkEnd w:id="3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/>
      </w:r>
    </w:p>
    <w:p>
      <w:pPr>
        <w:pStyle w:val="ConsPlusNonformat"/>
        <w:bidi w:val="0"/>
        <w:jc w:val="start"/>
        <w:rPr/>
      </w:pPr>
      <w:r>
        <w:rPr/>
        <w:t>Дата изменения наименования профессии (должности)  или  перевода  в  другое</w:t>
      </w:r>
    </w:p>
    <w:p>
      <w:pPr>
        <w:pStyle w:val="ConsPlusNonformat"/>
        <w:bidi w:val="0"/>
        <w:jc w:val="start"/>
        <w:rPr/>
      </w:pPr>
      <w:r>
        <w:rPr/>
        <w:t>структурное подразделение _________________________________________________</w:t>
      </w:r>
    </w:p>
    <w:p>
      <w:pPr>
        <w:pStyle w:val="ConsPlusNonformat"/>
        <w:bidi w:val="0"/>
        <w:jc w:val="start"/>
        <w:rPr/>
      </w:pPr>
      <w:r>
        <w:rPr/>
        <w:t>Предусмотрено  типовыми  нормами  бесплатной  выдачи работникам смывающих и</w:t>
      </w:r>
    </w:p>
    <w:p>
      <w:pPr>
        <w:pStyle w:val="ConsPlusNonformat"/>
        <w:bidi w:val="0"/>
        <w:jc w:val="start"/>
        <w:rPr/>
      </w:pPr>
      <w:r>
        <w:rPr/>
        <w:t>(или) обезвреживающих средств:</w:t>
      </w:r>
    </w:p>
    <w:p>
      <w:pPr>
        <w:pStyle w:val="Normal"/>
        <w:widowControl w:val="false"/>
        <w:bidi w:val="0"/>
        <w:jc w:val="both"/>
        <w:rPr/>
      </w:pPr>
      <w:r>
        <w:rPr/>
      </w:r>
    </w:p>
    <w:tbl>
      <w:tblPr>
        <w:tblW w:w="9302" w:type="dxa"/>
        <w:jc w:val="start"/>
        <w:tblInd w:w="75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2023"/>
        <w:gridCol w:w="3213"/>
        <w:gridCol w:w="2260"/>
        <w:gridCol w:w="1805"/>
      </w:tblGrid>
      <w:tr>
        <w:trPr>
          <w:trHeight w:val="600" w:hRule="atLeast"/>
        </w:trPr>
        <w:tc>
          <w:tcPr>
            <w:tcW w:w="202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Пункт Типовых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норм      </w:t>
            </w:r>
          </w:p>
        </w:tc>
        <w:tc>
          <w:tcPr>
            <w:tcW w:w="321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Вид смывающих и (или)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обезвреживающих средств </w:t>
            </w:r>
          </w:p>
        </w:tc>
        <w:tc>
          <w:tcPr>
            <w:tcW w:w="22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Единица  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измерения 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(г/мл)      </w:t>
            </w:r>
          </w:p>
        </w:tc>
        <w:tc>
          <w:tcPr>
            <w:tcW w:w="18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Количество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на год   </w:t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>Руководитель структурного подразделения ___________________________________</w:t>
      </w:r>
    </w:p>
    <w:p>
      <w:pPr>
        <w:pStyle w:val="ConsPlusNonformat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bookmarkStart w:id="4" w:name="Par281"/>
      <w:bookmarkEnd w:id="4"/>
      <w:r>
        <w:rPr>
          <w:rFonts w:eastAsia="Courier New"/>
        </w:rPr>
        <w:t xml:space="preserve">                                          </w:t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/>
      </w:pPr>
      <w:r>
        <w:rPr/>
        <w:t>Оборотная сторона личной карточки</w:t>
      </w:r>
    </w:p>
    <w:p>
      <w:pPr>
        <w:pStyle w:val="Normal"/>
        <w:widowControl w:val="false"/>
        <w:bidi w:val="0"/>
        <w:jc w:val="both"/>
        <w:rPr/>
      </w:pPr>
      <w:r>
        <w:rPr/>
      </w:r>
    </w:p>
    <w:tbl>
      <w:tblPr>
        <w:tblW w:w="9540" w:type="dxa"/>
        <w:jc w:val="start"/>
        <w:tblInd w:w="75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2023"/>
        <w:gridCol w:w="2022"/>
        <w:gridCol w:w="714"/>
        <w:gridCol w:w="1428"/>
        <w:gridCol w:w="2024"/>
        <w:gridCol w:w="1328"/>
      </w:tblGrid>
      <w:tr>
        <w:trPr>
          <w:trHeight w:val="400" w:hRule="atLeast"/>
        </w:trPr>
        <w:tc>
          <w:tcPr>
            <w:tcW w:w="2023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Вид смывающих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и (или) 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обезвреживающих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средств    </w:t>
            </w:r>
          </w:p>
        </w:tc>
        <w:tc>
          <w:tcPr>
            <w:tcW w:w="2022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Свидетельство о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государственной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регистрации,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сертификат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соответствия  </w:t>
            </w:r>
          </w:p>
        </w:tc>
        <w:tc>
          <w:tcPr>
            <w:tcW w:w="5494" w:type="dxa"/>
            <w:gridSpan w:val="4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Выдано                  </w:t>
            </w:r>
          </w:p>
        </w:tc>
      </w:tr>
      <w:tr>
        <w:trPr>
          <w:trHeight w:val="1000" w:hRule="atLeast"/>
        </w:trPr>
        <w:tc>
          <w:tcPr>
            <w:tcW w:w="2023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022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дата</w:t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количество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(г/мл)  </w:t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способ выдачи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(индивидуально;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посредством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дозирующей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системы)    </w:t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расписка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 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получении</w:t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>Руководитель структурного подразделения ___________________________________</w:t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before="0" w:after="0"/>
      <w:jc w:val="start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LibreOffice/6.4.4.2$Linux_X86_64 LibreOffice_project/40$Build-2</Application>
  <Pages>2</Pages>
  <Words>131</Words>
  <Characters>1142</Characters>
  <CharactersWithSpaces>1479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2020-08-16T18:47:50Z</dcterms:created>
  <dc:creator/>
  <dc:description/>
  <dc:language>en-US</dc:language>
  <cp:lastModifiedBy/>
  <dcterms:modified xsi:type="dcterms:W3CDTF">2020-08-17T10:40:07Z</dcterms:modified>
  <cp:revision>2</cp:revision>
  <dc:subject/>
  <dc:title/>
</cp:coreProperties>
</file>