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</w:r>
    </w:p>
    <w:p>
      <w:pPr>
        <w:pStyle w:val="ConsPlusNonformat"/>
        <w:bidi w:val="0"/>
        <w:jc w:val="start"/>
        <w:rPr/>
      </w:pPr>
      <w:r>
        <w:rPr>
          <w:rFonts w:eastAsia="Courier New"/>
        </w:rPr>
        <w:tab/>
        <w:tab/>
        <w:tab/>
        <w:tab/>
        <w:tab/>
        <w:tab/>
        <w:tab/>
        <w:tab/>
        <w:tab/>
        <w:t xml:space="preserve">            </w:t>
      </w:r>
      <w:r>
        <w:rPr>
          <w:rFonts w:eastAsia="Courier New" w:ascii="Times New Roman" w:hAnsi="Times New Roman"/>
          <w:sz w:val="24"/>
          <w:szCs w:val="24"/>
        </w:rPr>
        <w:t>Приложение</w:t>
      </w:r>
    </w:p>
    <w:p>
      <w:pPr>
        <w:pStyle w:val="Normal"/>
        <w:widowControl w:val="false"/>
        <w:autoSpaceDE w:val="false"/>
        <w:bidi w:val="0"/>
        <w:jc w:val="end"/>
        <w:rPr/>
      </w:pPr>
      <w:r>
        <w:rPr/>
        <w:t>к стандарту безопасности труда</w:t>
      </w:r>
    </w:p>
    <w:p>
      <w:pPr>
        <w:pStyle w:val="Normal"/>
        <w:widowControl w:val="false"/>
        <w:autoSpaceDE w:val="false"/>
        <w:bidi w:val="0"/>
        <w:jc w:val="end"/>
        <w:rPr/>
      </w:pPr>
      <w:r>
        <w:rPr/>
        <w:t>"Обеспечение работников</w:t>
      </w:r>
    </w:p>
    <w:p>
      <w:pPr>
        <w:pStyle w:val="Normal"/>
        <w:widowControl w:val="false"/>
        <w:autoSpaceDE w:val="false"/>
        <w:bidi w:val="0"/>
        <w:jc w:val="end"/>
        <w:rPr/>
      </w:pPr>
      <w:r>
        <w:rPr/>
        <w:t>смывающими и (или) обезвреживающими</w:t>
      </w:r>
    </w:p>
    <w:p>
      <w:pPr>
        <w:pStyle w:val="Normal"/>
        <w:widowControl w:val="false"/>
        <w:autoSpaceDE w:val="false"/>
        <w:bidi w:val="0"/>
        <w:jc w:val="end"/>
        <w:rPr/>
      </w:pPr>
      <w:r>
        <w:rPr/>
        <w:t>средствами", утвержденному Приказом</w:t>
      </w:r>
    </w:p>
    <w:p>
      <w:pPr>
        <w:pStyle w:val="Normal"/>
        <w:widowControl w:val="false"/>
        <w:autoSpaceDE w:val="false"/>
        <w:bidi w:val="0"/>
        <w:jc w:val="end"/>
        <w:rPr/>
      </w:pPr>
      <w:r>
        <w:rPr/>
        <w:t>Минздравсоцразвития России</w:t>
      </w:r>
    </w:p>
    <w:p>
      <w:pPr>
        <w:pStyle w:val="ConsPlusNonformat"/>
        <w:bidi w:val="0"/>
        <w:jc w:val="start"/>
        <w:rPr/>
      </w:pPr>
      <w:r>
        <w:rPr>
          <w:rFonts w:eastAsia="Courier New"/>
        </w:rPr>
        <w:tab/>
        <w:tab/>
        <w:tab/>
        <w:tab/>
        <w:tab/>
        <w:tab/>
        <w:tab/>
        <w:tab/>
        <w:t xml:space="preserve">     </w:t>
      </w:r>
      <w:r>
        <w:rPr>
          <w:rFonts w:eastAsia="Courier New" w:ascii="Times New Roman" w:hAnsi="Times New Roman"/>
          <w:sz w:val="24"/>
          <w:szCs w:val="24"/>
        </w:rPr>
        <w:t>от 17 декабря 2010 г. N 1122н</w:t>
      </w:r>
    </w:p>
    <w:p>
      <w:pPr>
        <w:pStyle w:val="ConsPlusNonformat"/>
        <w:bidi w:val="0"/>
        <w:jc w:val="start"/>
        <w:rPr/>
      </w:pPr>
      <w:r>
        <w:rPr>
          <w:rFonts w:eastAsia="Courier New"/>
        </w:rPr>
        <w:t xml:space="preserve">   </w:t>
      </w:r>
      <w:r>
        <w:rPr>
          <w:rFonts w:eastAsia="Courier New"/>
        </w:rPr>
        <w:tab/>
        <w:tab/>
        <w:tab/>
        <w:tab/>
      </w:r>
    </w:p>
    <w:p>
      <w:pPr>
        <w:pStyle w:val="ConsPlusNonformat"/>
        <w:bidi w:val="0"/>
        <w:jc w:val="center"/>
        <w:rPr>
          <w:rFonts w:eastAsia="Courier New"/>
        </w:rPr>
      </w:pPr>
      <w:r>
        <w:rPr/>
      </w:r>
    </w:p>
    <w:p>
      <w:pPr>
        <w:pStyle w:val="ConsPlusNonformat"/>
        <w:bidi w:val="0"/>
        <w:jc w:val="center"/>
        <w:rPr/>
      </w:pPr>
      <w:r>
        <w:rPr>
          <w:rFonts w:eastAsia="Courier New"/>
        </w:rPr>
        <w:tab/>
        <w:tab/>
      </w:r>
      <w:r>
        <w:rPr/>
        <w:t>ЛИЧНАЯ КАРТОЧКА N ____</w:t>
      </w:r>
    </w:p>
    <w:p>
      <w:pPr>
        <w:pStyle w:val="ConsPlusNonformat"/>
        <w:bidi w:val="0"/>
        <w:jc w:val="center"/>
        <w:rPr/>
      </w:pPr>
      <w:r>
        <w:rPr>
          <w:rFonts w:eastAsia="Courier New"/>
        </w:rPr>
        <w:t xml:space="preserve">          </w:t>
      </w:r>
      <w:r>
        <w:rPr/>
        <w:t>УЧЕТА ВЫДАЧИ СМЫВАЮЩИХ И (ИЛИ) ОБЕЗВРЕЖИВАЮЩИХ СРЕДСТВ</w:t>
      </w:r>
    </w:p>
    <w:p>
      <w:pPr>
        <w:pStyle w:val="ConsPlusNonformat"/>
        <w:bidi w:val="0"/>
        <w:jc w:val="start"/>
        <w:rPr/>
      </w:pPr>
      <w:r>
        <w:rPr/>
      </w:r>
    </w:p>
    <w:p>
      <w:pPr>
        <w:pStyle w:val="ConsPlusNonformat"/>
        <w:bidi w:val="0"/>
        <w:jc w:val="start"/>
        <w:rPr/>
      </w:pPr>
      <w:r>
        <w:rPr/>
      </w:r>
    </w:p>
    <w:p>
      <w:pPr>
        <w:pStyle w:val="ConsPlusNonformat"/>
        <w:bidi w:val="0"/>
        <w:jc w:val="start"/>
        <w:rPr/>
      </w:pPr>
      <w:r>
        <w:rPr/>
      </w:r>
    </w:p>
    <w:p>
      <w:pPr>
        <w:pStyle w:val="ConsPlusNonformat"/>
        <w:bidi w:val="0"/>
        <w:jc w:val="start"/>
        <w:rPr/>
      </w:pPr>
      <w:r>
        <w:rPr/>
        <w:t xml:space="preserve">Фамилия </w:t>
      </w:r>
      <w:r>
        <w:rPr>
          <w:u w:val="single"/>
        </w:rPr>
        <w:t>{</w:t>
      </w:r>
      <w:r>
        <w:rPr>
          <w:rFonts w:eastAsia="Times New Roman" w:cs="Courier New"/>
          <w:sz w:val="20"/>
          <w:szCs w:val="20"/>
          <w:u w:val="single"/>
          <w:lang w:eastAsia="ru-RU"/>
        </w:rPr>
        <w:t>lastName</w:t>
      </w:r>
      <w:r>
        <w:rPr>
          <w:u w:val="single"/>
        </w:rPr>
        <w:t>}</w:t>
      </w:r>
      <w:r>
        <w:rPr/>
        <w:t xml:space="preserve"> </w:t>
      </w:r>
    </w:p>
    <w:p>
      <w:pPr>
        <w:pStyle w:val="ConsPlusNonformat"/>
        <w:bidi w:val="0"/>
        <w:jc w:val="start"/>
        <w:rPr/>
      </w:pPr>
      <w:r>
        <w:rPr/>
        <w:t xml:space="preserve">Имя </w:t>
      </w:r>
      <w:r>
        <w:rPr>
          <w:rFonts w:eastAsia="Times New Roman" w:cs="Courier New"/>
          <w:sz w:val="20"/>
          <w:szCs w:val="20"/>
          <w:u w:val="single"/>
          <w:lang w:eastAsia="ru-RU"/>
        </w:rPr>
        <w:t>{firstName}</w:t>
      </w:r>
    </w:p>
    <w:p>
      <w:pPr>
        <w:pStyle w:val="ConsPlusNonformat"/>
        <w:bidi w:val="0"/>
        <w:jc w:val="start"/>
        <w:rPr/>
      </w:pPr>
      <w:r>
        <w:rPr/>
        <w:t xml:space="preserve">Отчество (при наличии) </w:t>
      </w:r>
      <w:r>
        <w:rPr>
          <w:rFonts w:eastAsia="Times New Roman" w:cs="Courier New"/>
          <w:sz w:val="20"/>
          <w:szCs w:val="20"/>
          <w:u w:val="single"/>
          <w:lang w:eastAsia="ru-RU"/>
        </w:rPr>
        <w:t>{middleName}</w:t>
      </w:r>
      <w:r>
        <w:rPr/>
        <w:t xml:space="preserve"> </w:t>
      </w:r>
    </w:p>
    <w:p>
      <w:pPr>
        <w:pStyle w:val="ConsPlusNonformat"/>
        <w:bidi w:val="0"/>
        <w:jc w:val="start"/>
        <w:rPr/>
      </w:pPr>
      <w:r>
        <w:rPr/>
        <w:t>Табельный номер _____________</w:t>
      </w:r>
    </w:p>
    <w:p>
      <w:pPr>
        <w:pStyle w:val="ConsPlusNonformat"/>
        <w:bidi w:val="0"/>
        <w:jc w:val="start"/>
        <w:rPr/>
      </w:pPr>
      <w:r>
        <w:rPr/>
        <w:t xml:space="preserve">Структурное подразделение </w:t>
      </w:r>
      <w:r>
        <w:rPr>
          <w:rFonts w:eastAsia="Times New Roman" w:cs="Courier New"/>
          <w:color w:val="auto"/>
          <w:sz w:val="20"/>
          <w:szCs w:val="20"/>
          <w:lang w:val="ru-RU" w:bidi="ar-SA"/>
        </w:rPr>
        <w:t>{</w:t>
      </w:r>
      <w:r>
        <w:rPr>
          <w:rFonts w:eastAsia="Times New Roman" w:cs="Courier New"/>
          <w:color w:val="auto"/>
          <w:sz w:val="20"/>
          <w:szCs w:val="20"/>
          <w:u w:val="single"/>
          <w:lang w:val="ru-RU" w:bidi="ar-SA"/>
        </w:rPr>
        <w:t>structuralSubdivision</w:t>
      </w:r>
      <w:r>
        <w:rPr>
          <w:rFonts w:eastAsia="Times New Roman" w:cs="Courier New"/>
          <w:color w:val="auto"/>
          <w:sz w:val="20"/>
          <w:szCs w:val="20"/>
          <w:lang w:val="ru-RU" w:bidi="ar-SA"/>
        </w:rPr>
        <w:t>}</w:t>
      </w:r>
    </w:p>
    <w:p>
      <w:pPr>
        <w:pStyle w:val="ConsPlusNonformat"/>
        <w:bidi w:val="0"/>
        <w:jc w:val="start"/>
        <w:rPr/>
      </w:pPr>
      <w:r>
        <w:rPr/>
        <w:t xml:space="preserve">Профессия (должность) </w:t>
      </w:r>
      <w:r>
        <w:rPr>
          <w:rFonts w:eastAsia="Times New Roman" w:cs="Courier New"/>
          <w:sz w:val="20"/>
          <w:szCs w:val="20"/>
          <w:u w:val="single"/>
          <w:lang w:eastAsia="ru-RU"/>
        </w:rPr>
        <w:t>{</w:t>
      </w:r>
      <w:bookmarkStart w:id="0" w:name="__DdeLink__1113_345415917"/>
      <w:r>
        <w:rPr>
          <w:rFonts w:eastAsia="Times New Roman" w:cs="Courier New"/>
          <w:color w:val="auto"/>
          <w:kern w:val="2"/>
          <w:sz w:val="20"/>
          <w:szCs w:val="20"/>
          <w:u w:val="single"/>
          <w:lang w:val="en-US" w:eastAsia="ru-RU" w:bidi="hi-IN"/>
        </w:rPr>
        <w:t>position</w:t>
      </w:r>
      <w:bookmarkEnd w:id="0"/>
      <w:r>
        <w:rPr>
          <w:rFonts w:eastAsia="Times New Roman" w:cs="Courier New"/>
          <w:sz w:val="20"/>
          <w:szCs w:val="20"/>
          <w:u w:val="single"/>
          <w:lang w:eastAsia="ru-RU"/>
        </w:rPr>
        <w:t>}</w:t>
      </w:r>
      <w:r>
        <w:rPr/>
        <w:t xml:space="preserve"> </w:t>
      </w:r>
    </w:p>
    <w:p>
      <w:pPr>
        <w:pStyle w:val="ConsPlusNonformat"/>
        <w:bidi w:val="0"/>
        <w:jc w:val="start"/>
        <w:rPr/>
      </w:pPr>
      <w:r>
        <w:rPr/>
        <w:t xml:space="preserve">Дата поступления на работу </w:t>
      </w:r>
      <w:r>
        <w:rPr>
          <w:rFonts w:eastAsia="Times New Roman" w:cs="Courier New"/>
          <w:color w:val="auto"/>
          <w:kern w:val="2"/>
          <w:sz w:val="20"/>
          <w:szCs w:val="20"/>
          <w:u w:val="single"/>
          <w:lang w:val="en-US" w:eastAsia="ru-RU" w:bidi="hi-IN"/>
        </w:rPr>
        <w:t>{</w:t>
      </w:r>
      <w:bookmarkStart w:id="1" w:name="__DdeLink__1115_345415917"/>
      <w:bookmarkStart w:id="2" w:name="__DdeLink__1530_345415917"/>
      <w:r>
        <w:rPr>
          <w:rFonts w:eastAsia="Times New Roman" w:cs="Courier New"/>
          <w:color w:val="auto"/>
          <w:kern w:val="2"/>
          <w:sz w:val="20"/>
          <w:szCs w:val="20"/>
          <w:u w:val="single"/>
          <w:lang w:val="en-US" w:eastAsia="ru-RU" w:bidi="hi-IN"/>
        </w:rPr>
        <w:t>startWorkDate</w:t>
      </w:r>
      <w:bookmarkEnd w:id="1"/>
      <w:bookmarkEnd w:id="2"/>
      <w:r>
        <w:rPr>
          <w:rFonts w:eastAsia="Times New Roman" w:cs="Courier New"/>
          <w:color w:val="auto"/>
          <w:kern w:val="2"/>
          <w:sz w:val="20"/>
          <w:szCs w:val="20"/>
          <w:u w:val="single"/>
          <w:lang w:val="en-US" w:eastAsia="ru-RU" w:bidi="hi-IN"/>
        </w:rPr>
        <w:t>}</w:t>
      </w:r>
    </w:p>
    <w:p>
      <w:pPr>
        <w:pStyle w:val="ConsPlusNonformat"/>
        <w:bidi w:val="0"/>
        <w:jc w:val="start"/>
        <w:rPr/>
      </w:pPr>
      <w:r>
        <w:rPr/>
        <w:t>Дата изменения наименования профессии (должности)  или  перевода  в  другое</w:t>
      </w:r>
    </w:p>
    <w:p>
      <w:pPr>
        <w:pStyle w:val="ConsPlusNonformat"/>
        <w:bidi w:val="0"/>
        <w:jc w:val="start"/>
        <w:rPr/>
      </w:pPr>
      <w:r>
        <w:rPr/>
        <w:t>структурное подразделение _________________________________________________</w:t>
      </w:r>
    </w:p>
    <w:p>
      <w:pPr>
        <w:pStyle w:val="ConsPlusNonformat"/>
        <w:bidi w:val="0"/>
        <w:jc w:val="start"/>
        <w:rPr/>
      </w:pPr>
      <w:r>
        <w:rPr/>
        <w:t>Предусмотрено  типовыми  нормами  бесплатной  выдачи работникам смывающих и</w:t>
      </w:r>
    </w:p>
    <w:p>
      <w:pPr>
        <w:pStyle w:val="ConsPlusNonformat"/>
        <w:bidi w:val="0"/>
        <w:jc w:val="start"/>
        <w:rPr/>
      </w:pPr>
      <w:r>
        <w:rPr/>
        <w:t>(или) обезвреживающих средств:</w:t>
      </w:r>
    </w:p>
    <w:p>
      <w:pPr>
        <w:pStyle w:val="Normal"/>
        <w:widowControl w:val="false"/>
        <w:autoSpaceDE w:val="false"/>
        <w:bidi w:val="0"/>
        <w:jc w:val="both"/>
        <w:rPr/>
      </w:pPr>
      <w:r>
        <w:rPr/>
      </w:r>
    </w:p>
    <w:tbl>
      <w:tblPr>
        <w:tblW w:w="9302" w:type="dxa"/>
        <w:jc w:val="start"/>
        <w:tblInd w:w="75" w:type="dxa"/>
        <w:tblCellMar>
          <w:top w:w="75" w:type="dxa"/>
          <w:start w:w="75" w:type="dxa"/>
          <w:bottom w:w="75" w:type="dxa"/>
          <w:end w:w="75" w:type="dxa"/>
        </w:tblCellMar>
      </w:tblPr>
      <w:tblGrid>
        <w:gridCol w:w="2023"/>
        <w:gridCol w:w="3213"/>
        <w:gridCol w:w="2261"/>
        <w:gridCol w:w="1805"/>
      </w:tblGrid>
      <w:tr>
        <w:trPr>
          <w:trHeight w:val="600" w:hRule="atLeast"/>
        </w:trPr>
        <w:tc>
          <w:tcPr>
            <w:tcW w:w="202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 xml:space="preserve"> </w:t>
            </w:r>
            <w:r>
              <w:rPr>
                <w:rFonts w:cs="Courier New" w:ascii="Courier New" w:hAnsi="Courier New"/>
                <w:sz w:val="20"/>
                <w:szCs w:val="20"/>
              </w:rPr>
              <w:t xml:space="preserve">Пункт Типовых </w:t>
            </w:r>
          </w:p>
          <w:p>
            <w:pPr>
              <w:pStyle w:val="Normal"/>
              <w:widowControl w:val="false"/>
              <w:autoSpaceDE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 xml:space="preserve">     </w:t>
            </w:r>
            <w:r>
              <w:rPr>
                <w:rFonts w:cs="Courier New" w:ascii="Courier New" w:hAnsi="Courier New"/>
                <w:sz w:val="20"/>
                <w:szCs w:val="20"/>
              </w:rPr>
              <w:t xml:space="preserve">норм      </w:t>
            </w:r>
          </w:p>
        </w:tc>
        <w:tc>
          <w:tcPr>
            <w:tcW w:w="321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</w:rPr>
              <w:t xml:space="preserve">Вид смывающих и (или)  </w:t>
            </w:r>
          </w:p>
          <w:p>
            <w:pPr>
              <w:pStyle w:val="Normal"/>
              <w:widowControl w:val="false"/>
              <w:autoSpaceDE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 xml:space="preserve"> </w:t>
            </w:r>
            <w:r>
              <w:rPr>
                <w:rFonts w:cs="Courier New" w:ascii="Courier New" w:hAnsi="Courier New"/>
                <w:sz w:val="20"/>
                <w:szCs w:val="20"/>
              </w:rPr>
              <w:t xml:space="preserve">обезвреживающих средств </w:t>
            </w:r>
          </w:p>
        </w:tc>
        <w:tc>
          <w:tcPr>
            <w:tcW w:w="226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 xml:space="preserve">     </w:t>
            </w:r>
            <w:r>
              <w:rPr>
                <w:rFonts w:cs="Courier New" w:ascii="Courier New" w:hAnsi="Courier New"/>
                <w:sz w:val="20"/>
                <w:szCs w:val="20"/>
              </w:rPr>
              <w:t xml:space="preserve">Единица     </w:t>
            </w:r>
          </w:p>
          <w:p>
            <w:pPr>
              <w:pStyle w:val="Normal"/>
              <w:widowControl w:val="false"/>
              <w:autoSpaceDE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</w:rPr>
              <w:t xml:space="preserve">измерения    </w:t>
            </w:r>
          </w:p>
          <w:p>
            <w:pPr>
              <w:pStyle w:val="Normal"/>
              <w:widowControl w:val="false"/>
              <w:autoSpaceDE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 xml:space="preserve">     </w:t>
            </w:r>
            <w:r>
              <w:rPr>
                <w:rFonts w:cs="Courier New" w:ascii="Courier New" w:hAnsi="Courier New"/>
                <w:sz w:val="20"/>
                <w:szCs w:val="20"/>
              </w:rPr>
              <w:t xml:space="preserve">(г/мл)      </w:t>
            </w:r>
          </w:p>
        </w:tc>
        <w:tc>
          <w:tcPr>
            <w:tcW w:w="180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</w:rPr>
              <w:t xml:space="preserve">Количество </w:t>
            </w:r>
          </w:p>
          <w:p>
            <w:pPr>
              <w:pStyle w:val="Normal"/>
              <w:widowControl w:val="false"/>
              <w:autoSpaceDE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</w:rPr>
              <w:t xml:space="preserve">на год   </w:t>
            </w:r>
          </w:p>
        </w:tc>
      </w:tr>
      <w:tr>
        <w:trPr/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</w:tc>
        <w:tc>
          <w:tcPr>
            <w:tcW w:w="321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261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805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321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261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805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321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261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805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321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261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805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321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261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805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321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261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805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321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261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805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321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261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805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321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261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805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</w:tr>
    </w:tbl>
    <w:p>
      <w:pPr>
        <w:pStyle w:val="Normal"/>
        <w:widowControl w:val="false"/>
        <w:autoSpaceDE w:val="false"/>
        <w:bidi w:val="0"/>
        <w:jc w:val="both"/>
        <w:rPr/>
      </w:pPr>
      <w:r>
        <w:rPr/>
      </w:r>
    </w:p>
    <w:p>
      <w:pPr>
        <w:pStyle w:val="ConsPlusNonformat"/>
        <w:bidi w:val="0"/>
        <w:jc w:val="start"/>
        <w:rPr/>
      </w:pPr>
      <w:r>
        <w:rPr/>
        <w:t>Руководитель структурного подразделения ___________________________________</w:t>
      </w:r>
    </w:p>
    <w:p>
      <w:pPr>
        <w:pStyle w:val="ConsPlusNonformat"/>
        <w:bidi w:val="0"/>
        <w:jc w:val="start"/>
        <w:rPr/>
      </w:pPr>
      <w:r>
        <w:rPr/>
      </w:r>
    </w:p>
    <w:p>
      <w:pPr>
        <w:pStyle w:val="ConsPlusNonformat"/>
        <w:bidi w:val="0"/>
        <w:jc w:val="start"/>
        <w:rPr/>
      </w:pPr>
      <w:bookmarkStart w:id="3" w:name="Par281"/>
      <w:bookmarkEnd w:id="3"/>
      <w:r>
        <w:rPr>
          <w:rFonts w:eastAsia="Courier New"/>
        </w:rPr>
        <w:t xml:space="preserve">                                          </w:t>
      </w:r>
    </w:p>
    <w:p>
      <w:pPr>
        <w:pStyle w:val="ConsPlusNonformat"/>
        <w:bidi w:val="0"/>
        <w:jc w:val="start"/>
        <w:rPr>
          <w:rFonts w:eastAsia="Courier New"/>
        </w:rPr>
      </w:pPr>
      <w:r>
        <w:rPr/>
      </w:r>
    </w:p>
    <w:p>
      <w:pPr>
        <w:pStyle w:val="ConsPlusNonformat"/>
        <w:bidi w:val="0"/>
        <w:jc w:val="start"/>
        <w:rPr>
          <w:rFonts w:eastAsia="Courier New"/>
        </w:rPr>
      </w:pPr>
      <w:r>
        <w:rPr/>
      </w:r>
    </w:p>
    <w:p>
      <w:pPr>
        <w:pStyle w:val="ConsPlusNonformat"/>
        <w:bidi w:val="0"/>
        <w:jc w:val="start"/>
        <w:rPr>
          <w:rFonts w:eastAsia="Courier New"/>
        </w:rPr>
      </w:pPr>
      <w:r>
        <w:rPr/>
      </w:r>
    </w:p>
    <w:p>
      <w:pPr>
        <w:pStyle w:val="ConsPlusNonformat"/>
        <w:bidi w:val="0"/>
        <w:jc w:val="start"/>
        <w:rPr>
          <w:rFonts w:eastAsia="Courier New"/>
        </w:rPr>
      </w:pPr>
      <w:r>
        <w:rPr/>
      </w:r>
    </w:p>
    <w:p>
      <w:pPr>
        <w:pStyle w:val="ConsPlusNonformat"/>
        <w:bidi w:val="0"/>
        <w:jc w:val="start"/>
        <w:rPr>
          <w:rFonts w:eastAsia="Courier New"/>
        </w:rPr>
      </w:pPr>
      <w:r>
        <w:rPr/>
      </w:r>
    </w:p>
    <w:p>
      <w:pPr>
        <w:pStyle w:val="ConsPlusNonformat"/>
        <w:bidi w:val="0"/>
        <w:jc w:val="start"/>
        <w:rPr>
          <w:rFonts w:eastAsia="Courier New"/>
        </w:rPr>
      </w:pPr>
      <w:r>
        <w:rPr/>
      </w:r>
    </w:p>
    <w:p>
      <w:pPr>
        <w:pStyle w:val="ConsPlusNonformat"/>
        <w:bidi w:val="0"/>
        <w:jc w:val="start"/>
        <w:rPr>
          <w:rFonts w:eastAsia="Courier New"/>
        </w:rPr>
      </w:pPr>
      <w:r>
        <w:rPr/>
      </w:r>
    </w:p>
    <w:p>
      <w:pPr>
        <w:pStyle w:val="ConsPlusNonformat"/>
        <w:bidi w:val="0"/>
        <w:jc w:val="start"/>
        <w:rPr>
          <w:rFonts w:eastAsia="Courier New"/>
        </w:rPr>
      </w:pPr>
      <w:r>
        <w:rPr/>
      </w:r>
    </w:p>
    <w:p>
      <w:pPr>
        <w:pStyle w:val="ConsPlusNonformat"/>
        <w:bidi w:val="0"/>
        <w:jc w:val="start"/>
        <w:rPr>
          <w:rFonts w:eastAsia="Courier New"/>
        </w:rPr>
      </w:pPr>
      <w:r>
        <w:rPr/>
      </w:r>
    </w:p>
    <w:p>
      <w:pPr>
        <w:pStyle w:val="ConsPlusNonformat"/>
        <w:bidi w:val="0"/>
        <w:jc w:val="start"/>
        <w:rPr/>
      </w:pPr>
      <w:r>
        <w:rPr/>
        <w:t>Оборотная сторона личной карточки</w:t>
      </w:r>
    </w:p>
    <w:p>
      <w:pPr>
        <w:pStyle w:val="Normal"/>
        <w:widowControl w:val="false"/>
        <w:autoSpaceDE w:val="false"/>
        <w:bidi w:val="0"/>
        <w:jc w:val="both"/>
        <w:rPr/>
      </w:pPr>
      <w:r>
        <w:rPr/>
      </w:r>
    </w:p>
    <w:tbl>
      <w:tblPr>
        <w:tblW w:w="9540" w:type="dxa"/>
        <w:jc w:val="start"/>
        <w:tblInd w:w="75" w:type="dxa"/>
        <w:tblCellMar>
          <w:top w:w="75" w:type="dxa"/>
          <w:start w:w="75" w:type="dxa"/>
          <w:bottom w:w="75" w:type="dxa"/>
          <w:end w:w="75" w:type="dxa"/>
        </w:tblCellMar>
      </w:tblPr>
      <w:tblGrid>
        <w:gridCol w:w="2023"/>
        <w:gridCol w:w="2023"/>
        <w:gridCol w:w="714"/>
        <w:gridCol w:w="1428"/>
        <w:gridCol w:w="2023"/>
        <w:gridCol w:w="1329"/>
      </w:tblGrid>
      <w:tr>
        <w:trPr>
          <w:trHeight w:val="400" w:hRule="atLeast"/>
        </w:trPr>
        <w:tc>
          <w:tcPr>
            <w:tcW w:w="2023" w:type="dxa"/>
            <w:vMerge w:val="restart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 xml:space="preserve">Вид смывающих  </w:t>
            </w:r>
          </w:p>
          <w:p>
            <w:pPr>
              <w:pStyle w:val="Normal"/>
              <w:widowControl w:val="false"/>
              <w:autoSpaceDE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</w:rPr>
              <w:t xml:space="preserve">и (или)    </w:t>
            </w:r>
          </w:p>
          <w:p>
            <w:pPr>
              <w:pStyle w:val="Normal"/>
              <w:widowControl w:val="false"/>
              <w:autoSpaceDE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обезвреживающих</w:t>
            </w:r>
          </w:p>
          <w:p>
            <w:pPr>
              <w:pStyle w:val="Normal"/>
              <w:widowControl w:val="false"/>
              <w:autoSpaceDE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</w:rPr>
              <w:t xml:space="preserve">средств    </w:t>
            </w:r>
          </w:p>
        </w:tc>
        <w:tc>
          <w:tcPr>
            <w:tcW w:w="2023" w:type="dxa"/>
            <w:vMerge w:val="restart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Свидетельство о</w:t>
            </w:r>
          </w:p>
          <w:p>
            <w:pPr>
              <w:pStyle w:val="Normal"/>
              <w:widowControl w:val="false"/>
              <w:autoSpaceDE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государственной</w:t>
            </w:r>
          </w:p>
          <w:p>
            <w:pPr>
              <w:pStyle w:val="Normal"/>
              <w:widowControl w:val="false"/>
              <w:autoSpaceDE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 xml:space="preserve"> </w:t>
            </w:r>
            <w:r>
              <w:rPr>
                <w:rFonts w:cs="Courier New" w:ascii="Courier New" w:hAnsi="Courier New"/>
                <w:sz w:val="20"/>
                <w:szCs w:val="20"/>
              </w:rPr>
              <w:t xml:space="preserve">регистрации,  </w:t>
            </w:r>
          </w:p>
          <w:p>
            <w:pPr>
              <w:pStyle w:val="Normal"/>
              <w:widowControl w:val="false"/>
              <w:autoSpaceDE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</w:rPr>
              <w:t xml:space="preserve">сертификат   </w:t>
            </w:r>
          </w:p>
          <w:p>
            <w:pPr>
              <w:pStyle w:val="Normal"/>
              <w:widowControl w:val="false"/>
              <w:autoSpaceDE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 xml:space="preserve"> </w:t>
            </w:r>
            <w:r>
              <w:rPr>
                <w:rFonts w:cs="Courier New" w:ascii="Courier New" w:hAnsi="Courier New"/>
                <w:sz w:val="20"/>
                <w:szCs w:val="20"/>
              </w:rPr>
              <w:t xml:space="preserve">соответствия  </w:t>
            </w:r>
          </w:p>
        </w:tc>
        <w:tc>
          <w:tcPr>
            <w:tcW w:w="5494" w:type="dxa"/>
            <w:gridSpan w:val="4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 xml:space="preserve">                 </w:t>
            </w:r>
            <w:r>
              <w:rPr>
                <w:rFonts w:cs="Courier New" w:ascii="Courier New" w:hAnsi="Courier New"/>
                <w:sz w:val="20"/>
                <w:szCs w:val="20"/>
              </w:rPr>
              <w:t xml:space="preserve">Выдано                  </w:t>
            </w:r>
          </w:p>
        </w:tc>
      </w:tr>
      <w:tr>
        <w:trPr>
          <w:trHeight w:val="1000" w:hRule="atLeast"/>
        </w:trPr>
        <w:tc>
          <w:tcPr>
            <w:tcW w:w="2023" w:type="dxa"/>
            <w:vMerge w:val="continue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</w:tc>
        <w:tc>
          <w:tcPr>
            <w:tcW w:w="2023" w:type="dxa"/>
            <w:vMerge w:val="continue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714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дата</w:t>
            </w:r>
          </w:p>
        </w:tc>
        <w:tc>
          <w:tcPr>
            <w:tcW w:w="1428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количество</w:t>
            </w:r>
          </w:p>
          <w:p>
            <w:pPr>
              <w:pStyle w:val="Normal"/>
              <w:widowControl w:val="false"/>
              <w:autoSpaceDE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</w:rPr>
              <w:t xml:space="preserve">(г/мл)  </w:t>
            </w:r>
          </w:p>
        </w:tc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 xml:space="preserve"> </w:t>
            </w:r>
            <w:r>
              <w:rPr>
                <w:rFonts w:cs="Courier New" w:ascii="Courier New" w:hAnsi="Courier New"/>
                <w:sz w:val="20"/>
                <w:szCs w:val="20"/>
              </w:rPr>
              <w:t xml:space="preserve">способ выдачи </w:t>
            </w:r>
          </w:p>
          <w:p>
            <w:pPr>
              <w:pStyle w:val="Normal"/>
              <w:widowControl w:val="false"/>
              <w:autoSpaceDE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(индивидуально;</w:t>
            </w:r>
          </w:p>
          <w:p>
            <w:pPr>
              <w:pStyle w:val="Normal"/>
              <w:widowControl w:val="false"/>
              <w:autoSpaceDE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</w:rPr>
              <w:t xml:space="preserve">посредством  </w:t>
            </w:r>
          </w:p>
          <w:p>
            <w:pPr>
              <w:pStyle w:val="Normal"/>
              <w:widowControl w:val="false"/>
              <w:autoSpaceDE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 xml:space="preserve">  </w:t>
            </w:r>
            <w:r>
              <w:rPr>
                <w:rFonts w:cs="Courier New" w:ascii="Courier New" w:hAnsi="Courier New"/>
                <w:sz w:val="20"/>
                <w:szCs w:val="20"/>
              </w:rPr>
              <w:t xml:space="preserve">дозирующей   </w:t>
            </w:r>
          </w:p>
          <w:p>
            <w:pPr>
              <w:pStyle w:val="Normal"/>
              <w:widowControl w:val="false"/>
              <w:autoSpaceDE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 xml:space="preserve">   </w:t>
            </w:r>
            <w:r>
              <w:rPr>
                <w:rFonts w:cs="Courier New" w:ascii="Courier New" w:hAnsi="Courier New"/>
                <w:sz w:val="20"/>
                <w:szCs w:val="20"/>
              </w:rPr>
              <w:t xml:space="preserve">системы)    </w:t>
            </w:r>
          </w:p>
        </w:tc>
        <w:tc>
          <w:tcPr>
            <w:tcW w:w="1329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 xml:space="preserve">расписка </w:t>
            </w:r>
          </w:p>
          <w:p>
            <w:pPr>
              <w:pStyle w:val="Normal"/>
              <w:widowControl w:val="false"/>
              <w:autoSpaceDE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 xml:space="preserve">    </w:t>
            </w:r>
            <w:r>
              <w:rPr>
                <w:rFonts w:cs="Courier New" w:ascii="Courier New" w:hAnsi="Courier New"/>
                <w:sz w:val="20"/>
                <w:szCs w:val="20"/>
              </w:rPr>
              <w:t xml:space="preserve">в    </w:t>
            </w:r>
          </w:p>
          <w:p>
            <w:pPr>
              <w:pStyle w:val="Normal"/>
              <w:widowControl w:val="false"/>
              <w:autoSpaceDE w:val="false"/>
              <w:bidi w:val="0"/>
              <w:jc w:val="star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получении</w:t>
            </w:r>
          </w:p>
        </w:tc>
      </w:tr>
      <w:tr>
        <w:trPr/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</w:r>
          </w:p>
        </w:tc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714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428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329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714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428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329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714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428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329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714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428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329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714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428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329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714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428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329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714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428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329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714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428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329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714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428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329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714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428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329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714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428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329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714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428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329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714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428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329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714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428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329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714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428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329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714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428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329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714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428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329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714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428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329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714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428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329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714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428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329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714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428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329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714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428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329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714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428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329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714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428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329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714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428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2023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  <w:tc>
          <w:tcPr>
            <w:tcW w:w="1329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autoSpaceDE w:val="false"/>
              <w:bidi w:val="0"/>
              <w:snapToGrid w:val="false"/>
              <w:jc w:val="both"/>
              <w:rPr/>
            </w:pPr>
            <w:r>
              <w:rPr/>
            </w:r>
          </w:p>
        </w:tc>
      </w:tr>
    </w:tbl>
    <w:p>
      <w:pPr>
        <w:pStyle w:val="Normal"/>
        <w:widowControl w:val="false"/>
        <w:autoSpaceDE w:val="false"/>
        <w:bidi w:val="0"/>
        <w:jc w:val="both"/>
        <w:rPr/>
      </w:pPr>
      <w:r>
        <w:rPr/>
      </w:r>
    </w:p>
    <w:p>
      <w:pPr>
        <w:pStyle w:val="ConsPlusNonformat"/>
        <w:bidi w:val="0"/>
        <w:jc w:val="start"/>
        <w:rPr/>
      </w:pPr>
      <w:r>
        <w:rPr/>
        <w:t>Руководитель структурного подразделения ___________________________________</w:t>
      </w:r>
    </w:p>
    <w:p>
      <w:pPr>
        <w:pStyle w:val="Normal"/>
        <w:widowControl w:val="false"/>
        <w:autoSpaceDE w:val="false"/>
        <w:bidi w:val="0"/>
        <w:jc w:val="both"/>
        <w:rPr/>
      </w:pPr>
      <w:r>
        <w:rPr/>
      </w:r>
    </w:p>
    <w:p>
      <w:pPr>
        <w:pStyle w:val="Normal"/>
        <w:widowControl w:val="false"/>
        <w:autoSpaceDE w:val="false"/>
        <w:bidi w:val="0"/>
        <w:jc w:val="both"/>
        <w:rPr/>
      </w:pPr>
      <w:r>
        <w:rPr/>
      </w:r>
    </w:p>
    <w:p>
      <w:pPr>
        <w:pStyle w:val="Normal"/>
        <w:widowControl w:val="false"/>
        <w:pBdr>
          <w:bottom w:val="single" w:sz="6" w:space="0" w:color="000000"/>
        </w:pBdr>
        <w:autoSpaceDE w:val="false"/>
        <w:bidi w:val="0"/>
        <w:jc w:val="start"/>
        <w:rPr>
          <w:sz w:val="5"/>
          <w:szCs w:val="5"/>
        </w:rPr>
      </w:pPr>
      <w:r>
        <w:rPr>
          <w:sz w:val="5"/>
          <w:szCs w:val="5"/>
        </w:rPr>
      </w:r>
    </w:p>
    <w:p>
      <w:pPr>
        <w:pStyle w:val="Normal"/>
        <w:bidi w:val="0"/>
        <w:jc w:val="start"/>
        <w:rPr>
          <w:sz w:val="5"/>
          <w:szCs w:val="5"/>
        </w:rPr>
      </w:pPr>
      <w:r>
        <w:rPr>
          <w:sz w:val="5"/>
          <w:szCs w:val="5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ourier New">
    <w:charset w:val="cc" w:characterSet="windows-1251"/>
    <w:family w:val="modern"/>
    <w:pitch w:val="default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sPlusNonformat">
    <w:name w:val="ConsPlusNonformat"/>
    <w:qFormat/>
    <w:pPr>
      <w:widowControl w:val="false"/>
      <w:autoSpaceDE w:val="false"/>
      <w:bidi w:val="0"/>
    </w:pPr>
    <w:rPr>
      <w:rFonts w:ascii="Courier New" w:hAnsi="Courier New" w:eastAsia="Times New Roman" w:cs="Courier New"/>
      <w:color w:val="auto"/>
      <w:kern w:val="2"/>
      <w:sz w:val="20"/>
      <w:szCs w:val="20"/>
      <w:lang w:val="ru-RU" w:bidi="ar-SA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LibreOffice/6.4.4.2$Linux_X86_64 LibreOffice_project/40$Build-2</Application>
  <Pages>2</Pages>
  <Words>131</Words>
  <Characters>1142</Characters>
  <CharactersWithSpaces>1479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2020-08-16T18:47:50Z</dcterms:created>
  <dc:creator/>
  <dc:description/>
  <dc:language>en-US</dc:language>
  <cp:lastModifiedBy/>
  <dcterms:modified xsi:type="dcterms:W3CDTF">2020-08-16T18:54:13Z</dcterms:modified>
  <cp:revision>1</cp:revision>
  <dc:subject/>
  <dc:title/>
</cp:coreProperties>
</file>