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Field Handbook</w:t>
      </w:r>
    </w:p>
    <w:p>
      <w:pPr>
        <w:pStyle w:val="BodyText"/>
      </w:pPr>
      <w:r>
        <w:t xml:space="preserve">A realistic document, written the way people actually write them — and</w:t>
      </w:r>
      <w:r>
        <w:t xml:space="preserve"> </w:t>
      </w:r>
      <w:r>
        <w:t xml:space="preserve">deliberately including the awkward parts, because a sample that only shows</w:t>
      </w:r>
      <w:r>
        <w:t xml:space="preserve"> </w:t>
      </w:r>
      <w:r>
        <w:t xml:space="preserve">easy cases tells you nothing.</w:t>
      </w:r>
    </w:p>
    <w:p>
      <w:pPr>
        <w:pStyle w:val="Heading2"/>
      </w:pPr>
      <w:r>
        <w:t xml:space="preserve">Why this exists</w:t>
      </w:r>
    </w:p>
    <w:p>
      <w:pPr>
        <w:pStyle w:val="BodyText"/>
      </w:pPr>
      <w:r>
        <w:t xml:space="preserve">Teams hold documents in</w:t>
      </w:r>
      <w:r>
        <w:t xml:space="preserve"> </w:t>
      </w:r>
      <w:r>
        <w:rPr>
          <w:b/>
        </w:rPr>
        <w:t xml:space="preserve">Word</w:t>
      </w:r>
      <w:r>
        <w:t xml:space="preserve">,</w:t>
      </w:r>
      <w:r>
        <w:t xml:space="preserve"> </w:t>
      </w:r>
      <w:r>
        <w:rPr>
          <w:i/>
        </w:rPr>
        <w:t xml:space="preserve">LibreOffice</w:t>
      </w:r>
      <w:r>
        <w:t xml:space="preserve">, EPUB and markdown at the</w:t>
      </w:r>
      <w:r>
        <w:t xml:space="preserve"> </w:t>
      </w:r>
      <w:r>
        <w:t xml:space="preserve">same time. Getting between those formats is supposed to be boring. When it</w:t>
      </w:r>
      <w:r>
        <w:t xml:space="preserve"> </w:t>
      </w:r>
      <w:r>
        <w:t xml:space="preserve">is not boring, it is usually because something was silently dropped.</w:t>
      </w:r>
    </w:p>
    <w:p>
      <w:pPr>
        <w:pStyle w:val="BlockText"/>
      </w:pPr>
      <w:r>
        <w:t xml:space="preserve">A conversion you cannot inspect is a conversion you cannot trust.</w:t>
      </w:r>
    </w:p>
    <w:p>
      <w:pPr>
        <w:pStyle w:val="BlockText"/>
      </w:pPr>
      <w:r>
        <w:t xml:space="preserve">— every migration post-mortem, eventually</w:t>
      </w:r>
    </w:p>
    <w:p>
      <w:pPr>
        <w:pStyle w:val="Heading2"/>
      </w:pPr>
      <w:r>
        <w:t xml:space="preserve">Rollout schedule</w:t>
      </w:r>
    </w:p>
    <w:tbl>
      <w:tblPr>
        <w:tblStyle w:val="Table"/>
        <w:tblW w:type="auto" w:w="0"/>
        <w:tblLook w:firstRow="1" w:val="0020"/>
      </w:tblPr>
      <w:tblGrid>
        <w:gridCol w:w="2340"/>
        <w:gridCol w:w="2340"/>
        <w:gridCol w:w="2340"/>
        <w:gridCol w:w="2340"/>
      </w:tblGrid>
      <w:tr>
        <w:trPr>
          <w:tblHeader w:val="on"/>
        </w:trPr>
        <w:tc>
          <w:p>
            <w:pPr>
              <w:pStyle w:val="Compact"/>
            </w:pPr>
            <w:r>
              <w:t xml:space="preserve">Phase</w:t>
            </w:r>
          </w:p>
        </w:tc>
        <w:tc>
          <w:p>
            <w:pPr>
              <w:pStyle w:val="Compact"/>
            </w:pPr>
            <w:r>
              <w:t xml:space="preserve">Owner</w:t>
            </w:r>
          </w:p>
        </w:tc>
        <w:tc>
          <w:p>
            <w:pPr>
              <w:pStyle w:val="Compact"/>
              <w:jc w:val="right"/>
            </w:pPr>
            <w:r>
              <w:t xml:space="preserve">Starts</w:t>
            </w:r>
          </w:p>
        </w:tc>
        <w:tc>
          <w:p>
            <w:pPr>
              <w:pStyle w:val="Compac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</w:pPr>
            <w:r>
              <w:t xml:space="preserve">Inventory</w:t>
            </w:r>
          </w:p>
        </w:tc>
        <w:tc>
          <w:p>
            <w:pPr>
              <w:pStyle w:val="Compact"/>
            </w:pPr>
            <w:r>
              <w:t xml:space="preserve">Priya</w:t>
            </w:r>
          </w:p>
        </w:tc>
        <w:tc>
          <w:p>
            <w:pPr>
              <w:pStyle w:val="Compact"/>
              <w:jc w:val="right"/>
            </w:pPr>
            <w:r>
              <w:t xml:space="preserve">2026-01-06</w:t>
            </w:r>
          </w:p>
        </w:tc>
        <w:tc>
          <w:p>
            <w:pPr>
              <w:pStyle w:val="Compact"/>
            </w:pPr>
            <w:r>
              <w:t xml:space="preserve">done</w:t>
            </w:r>
          </w:p>
        </w:tc>
      </w:tr>
      <w:tr>
        <w:tc>
          <w:p>
            <w:pPr>
              <w:pStyle w:val="Compact"/>
            </w:pPr>
            <w:r>
              <w:t xml:space="preserve">Pilot</w:t>
            </w:r>
          </w:p>
        </w:tc>
        <w:tc>
          <w:p>
            <w:pPr>
              <w:pStyle w:val="Compact"/>
            </w:pPr>
            <w:r>
              <w:t xml:space="preserve">Sam</w:t>
            </w:r>
          </w:p>
        </w:tc>
        <w:tc>
          <w:p>
            <w:pPr>
              <w:pStyle w:val="Compact"/>
              <w:jc w:val="right"/>
            </w:pPr>
            <w:r>
              <w:t xml:space="preserve">2026-02-17</w:t>
            </w:r>
          </w:p>
        </w:tc>
        <w:tc>
          <w:p>
            <w:pPr>
              <w:pStyle w:val="Compact"/>
            </w:pPr>
            <w:r>
              <w:t xml:space="preserve">in progress</w:t>
            </w:r>
          </w:p>
        </w:tc>
      </w:tr>
      <w:tr>
        <w:tc>
          <w:p>
            <w:pPr>
              <w:pStyle w:val="Compact"/>
            </w:pPr>
            <w:r>
              <w:t xml:space="preserve">Migration</w:t>
            </w:r>
          </w:p>
        </w:tc>
        <w:tc>
          <w:p>
            <w:pPr>
              <w:pStyle w:val="Compact"/>
            </w:pPr>
            <w:r>
              <w:t xml:space="preserve">Ops</w:t>
            </w:r>
          </w:p>
        </w:tc>
        <w:tc>
          <w:p>
            <w:pPr>
              <w:pStyle w:val="Compact"/>
              <w:jc w:val="right"/>
            </w:pPr>
            <w:r>
              <w:t xml:space="preserve">2026-04-01</w:t>
            </w:r>
          </w:p>
        </w:tc>
        <w:tc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p>
            <w:pPr>
              <w:pStyle w:val="Compact"/>
            </w:pPr>
            <w:r>
              <w:t xml:space="preserve">Decommission</w:t>
            </w:r>
          </w:p>
        </w:tc>
        <w:tc>
          <w:p>
            <w:pPr>
              <w:pStyle w:val="Compact"/>
            </w:pPr>
            <w:r>
              <w:t xml:space="preserve">Ops</w:t>
            </w:r>
          </w:p>
        </w:tc>
        <w:tc>
          <w:p>
            <w:pPr>
              <w:pStyle w:val="Compact"/>
              <w:jc w:val="right"/>
            </w:pPr>
            <w:r>
              <w:t xml:space="preserve">2026-09-15</w:t>
            </w:r>
          </w:p>
        </w:tc>
        <w:tc>
          <w:p>
            <w:pPr>
              <w:pStyle w:val="Compact"/>
            </w:pPr>
            <w:r>
              <w:t xml:space="preserve">not started</w:t>
            </w:r>
          </w:p>
        </w:tc>
      </w:tr>
    </w:tbl>
    <w:p/>
    <w:p>
      <w:pPr>
        <w:pStyle w:val="Heading2"/>
      </w:pPr>
      <w:r>
        <w:t xml:space="preserve">What each team has to do</w:t>
      </w:r>
    </w:p>
    <w:p>
      <w:pPr>
        <w:pStyle w:val="Compact"/>
        <w:numPr>
          <w:ilvl w:val="0"/>
          <w:numId w:val="1001"/>
        </w:numPr>
      </w:pPr>
      <w:r>
        <w:t xml:space="preserve">Export everything from the old system.</w:t>
      </w:r>
    </w:p>
    <w:p>
      <w:pPr>
        <w:pStyle w:val="Compact"/>
        <w:numPr>
          <w:ilvl w:val="0"/>
          <w:numId w:val="1001"/>
        </w:numPr>
      </w:pPr>
      <w:r>
        <w:t xml:space="preserve">Convert it: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.docx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.odt</w:t>
      </w:r>
      <w:r>
        <w:t xml:space="preserve"> </w:t>
      </w:r>
      <w:r>
        <w:t xml:space="preserve">to markdown for the index</w:t>
      </w:r>
    </w:p>
    <w:p>
      <w:pPr>
        <w:pStyle w:val="Compact"/>
        <w:numPr>
          <w:ilvl w:val="1"/>
          <w:numId w:val="1002"/>
        </w:numPr>
      </w:pPr>
      <w:r>
        <w:t xml:space="preserve">markdown back to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for anyone who needs to edit in Word</w:t>
      </w:r>
    </w:p>
    <w:p>
      <w:pPr>
        <w:pStyle w:val="Compact"/>
        <w:numPr>
          <w:ilvl w:val="0"/>
          <w:numId w:val="1001"/>
        </w:numPr>
      </w:pPr>
      <w:r>
        <w:t xml:space="preserve">Spot-check 1 % of the output by hand.</w:t>
      </w:r>
    </w:p>
    <w:p>
      <w:pPr>
        <w:pStyle w:val="Heading3"/>
      </w:pPr>
      <w:r>
        <w:t xml:space="preserve">Checklist</w:t>
      </w:r>
    </w:p>
    <w:p>
      <w:pPr>
        <w:pStyle w:val="Compact"/>
        <w:numPr>
          <w:ilvl w:val="0"/>
          <w:numId w:val="1003"/>
        </w:numPr>
      </w:pPr>
      <w:r>
        <w:t xml:space="preserve">☒ Inventory complete</w:t>
      </w:r>
    </w:p>
    <w:p>
      <w:pPr>
        <w:pStyle w:val="Compact"/>
        <w:numPr>
          <w:ilvl w:val="0"/>
          <w:numId w:val="1003"/>
        </w:numPr>
      </w:pPr>
      <w:r>
        <w:t xml:space="preserve">☐ Pilot signed off</w:t>
      </w:r>
    </w:p>
    <w:p>
      <w:pPr>
        <w:pStyle w:val="Compact"/>
        <w:numPr>
          <w:ilvl w:val="0"/>
          <w:numId w:val="1003"/>
        </w:numPr>
      </w:pPr>
      <w:r>
        <w:t xml:space="preserve">☐ Rollback plan written</w:t>
      </w:r>
    </w:p>
    <w:p>
      <w:pPr>
        <w:pStyle w:val="Heading2"/>
      </w:pPr>
      <w:r>
        <w:t xml:space="preserve">Running a conversion</w:t>
      </w:r>
    </w:p>
    <w:p>
      <w:pPr>
        <w:pStyle w:val="BodyText"/>
      </w:pPr>
      <w:r>
        <w:t xml:space="preserve">Convert a directory in one pass:</w:t>
      </w:r>
    </w:p>
    <w:p>
      <w:pPr>
        <w:pStyle w:val="SourceCode"/>
      </w:pPr>
      <w:r>
        <w:rPr>
          <w:rStyle w:val="VerbatimChar"/>
        </w:rPr>
        <w:t xml:space="preserve">find . -name '*.docx' -print0 |</w:t>
      </w:r>
      <w:r>
        <w:br/>
      </w:r>
      <w:r>
        <w:rPr>
          <w:rStyle w:val="VerbatimChar"/>
        </w:rPr>
        <w:t xml:space="preserve">  xargs -0 -P8 -I{} ferrodoc {} -t gfm -o {}.md</w:t>
      </w:r>
    </w:p>
    <w:p>
      <w:pPr>
        <w:pStyle w:val="BodyText"/>
      </w:pPr>
      <w:r>
        <w:t xml:space="preserve">The Python equivalent, for a pipeline that already has one:</w:t>
      </w:r>
    </w:p>
    <w:p>
      <w:pPr>
        <w:pStyle w:val="SourceCode"/>
      </w:pPr>
      <w:r>
        <w:rPr>
          <w:rStyle w:val="VerbatimChar"/>
        </w:rPr>
        <w:t xml:space="preserve">import ferrodoc</w:t>
      </w:r>
      <w:r>
        <w:br/>
      </w:r>
      <w:r>
        <w:rPr>
          <w:rStyle w:val="VerbatimChar"/>
        </w:rPr>
        <w:t xml:space="preserve">with open("report.docx", "rb") as f:</w:t>
      </w:r>
      <w:r>
        <w:br/>
      </w:r>
      <w:r>
        <w:rPr>
          <w:rStyle w:val="VerbatimChar"/>
        </w:rPr>
        <w:t xml:space="preserve">    text = ferrodoc.convert(f.read(), "docx", "gfm")</w:t>
      </w:r>
    </w:p>
    <w:p>
      <w:pPr>
        <w:pStyle w:val="BodyText"/>
      </w:pPr>
      <w:r>
        <w:t xml:space="preserve">An indented code block, which is a different construct:</w:t>
      </w:r>
    </w:p>
    <w:p>
      <w:pPr>
        <w:pStyle w:val="SourceCode"/>
      </w:pPr>
      <w:r>
        <w:rPr>
          <w:rStyle w:val="VerbatimChar"/>
        </w:rPr>
        <w:t xml:space="preserve">ferrodoc -f markdown -t html handbook.md</w:t>
      </w:r>
    </w:p>
    <w:p>
      <w:pPr>
        <w:pStyle w:val="Heading2"/>
      </w:pPr>
      <w:r>
        <w:t xml:space="preserve">Awkward cases, on purpose</w:t>
      </w:r>
    </w:p>
    <w:p>
      <w:pPr>
        <w:pStyle w:val="BodyText"/>
      </w:pPr>
      <w:r>
        <w:t xml:space="preserve">Inline code with special characters:</w:t>
      </w:r>
      <w:r>
        <w:t xml:space="preserve"> </w:t>
      </w:r>
      <w:r>
        <w:rPr>
          <w:rStyle w:val="VerbatimChar"/>
        </w:rPr>
        <w:t xml:space="preserve">a | b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--flag</w:t>
      </w:r>
      <w:r>
        <w:t xml:space="preserve">, and a</w:t>
      </w:r>
      <w:r>
        <w:t xml:space="preserve"> </w:t>
      </w:r>
      <w:r>
        <w:t xml:space="preserve">literal backtick:</w:t>
      </w:r>
      <w:r>
        <w:t xml:space="preserve"> </w:t>
      </w:r>
      <w:r>
        <w:rPr>
          <w:rStyle w:val="VerbatimChar"/>
        </w:rPr>
        <w:t xml:space="preserve">`</w:t>
      </w:r>
      <w:r>
        <w:t xml:space="preserve">.</w:t>
      </w:r>
    </w:p>
    <w:p>
      <w:pPr>
        <w:pStyle w:val="BodyText"/>
      </w:pPr>
      <w:r>
        <w:t xml:space="preserve">Text with entities &amp; symbols — an em dash, "curly quotes", an</w:t>
      </w:r>
      <w:r>
        <w:t xml:space="preserve"> </w:t>
      </w:r>
      <w:r>
        <w:t xml:space="preserve">ellipsis…, a non-breaking space, and unicode: café, naïve, Ω, 日本語.</w:t>
      </w:r>
    </w:p>
    <w:p>
      <w:pPr>
        <w:pStyle w:val="BodyText"/>
      </w:pPr>
      <w:r>
        <w:rPr>
          <w:strike/>
        </w:rPr>
        <w:t xml:space="preserve">Struck-through text</w:t>
      </w:r>
      <w:r>
        <w:t xml:space="preserve"> </w:t>
      </w:r>
      <w:r>
        <w:t xml:space="preserve">and text with a footnote.</w:t>
      </w:r>
      <w:r>
        <w:rPr>
          <w:rStyle w:val="FootnoteReference"/>
        </w:rPr>
        <w:footnoteReference w:id="2"/>
      </w:r>
    </w:p>
    <w:p>
      <w:pPr>
        <w:pStyle w:val="BodyText"/>
      </w:pPr>
      <w:r>
        <w:t xml:space="preserve">Five inlines no writer test used to reach through this file:</w:t>
      </w:r>
      <w:r>
        <w:t xml:space="preserve"> </w:t>
      </w:r>
      <w:r>
        <w:t xml:space="preserve">underlined</w:t>
      </w:r>
      <w:r>
        <w:t xml:space="preserve"> </w:t>
      </w:r>
      <w:r>
        <w:t xml:space="preserve">text</w:t>
      </w:r>
      <w:r>
        <w:t xml:space="preserve">,</w:t>
      </w:r>
      <w:r>
        <w:t xml:space="preserve"> </w:t>
      </w:r>
      <w:r>
        <w:t xml:space="preserve">small caps</w:t>
      </w:r>
      <w:r>
        <w:t xml:space="preserve">, a</w:t>
      </w:r>
      <w:r>
        <w:t xml:space="preserve"> </w:t>
      </w:r>
      <w:r>
        <w:t xml:space="preserve">span carrying an id and a class</w:t>
      </w:r>
      <w:r>
        <w:t xml:space="preserve">, and</w:t>
      </w:r>
      <w:r>
        <w:t xml:space="preserve"> </w:t>
      </w:r>
      <w:r>
        <w:t xml:space="preserve">H</w:t>
      </w:r>
      <w:r>
        <w:t xml:space="preserve">2</w:t>
      </w:r>
      <w:r>
        <w:t xml:space="preserve">O beside E=mc</w:t>
      </w:r>
      <w:r>
        <w:t xml:space="preserve">2</w:t>
      </w:r>
      <w:r>
        <w:t xml:space="preserve">. They are here because</w:t>
      </w:r>
      <w:r>
        <w:t xml:space="preserve"> </w:t>
      </w:r>
      <w:r>
        <w:rPr>
          <w:rStyle w:val="VerbatimChar"/>
        </w:rPr>
        <w:t xml:space="preserve">docs/gates.md</w:t>
      </w:r>
      <w:r>
        <w:t xml:space="preserve"> </w:t>
      </w:r>
      <w:r>
        <w:t xml:space="preserve">claims</w:t>
      </w:r>
      <w:r>
        <w:t xml:space="preserve"> </w:t>
      </w:r>
      <w:r>
        <w:rPr>
          <w:rStyle w:val="VerbatimChar"/>
        </w:rPr>
        <w:t xml:space="preserve">--samples</w:t>
      </w:r>
      <w:r>
        <w:t xml:space="preserve"> </w:t>
      </w:r>
      <w:r>
        <w:t xml:space="preserve">keeps them found, and until this paragraph existed no</w:t>
      </w:r>
      <w:r>
        <w:t xml:space="preserve"> </w:t>
      </w:r>
      <w:r>
        <w:t xml:space="preserve">sample document contained one — the claim was wider than the corpus behind</w:t>
      </w:r>
      <w:r>
        <w:t xml:space="preserve"> </w:t>
      </w:r>
      <w:r>
        <w:t xml:space="preserve">it, which is the defect this file is supposed to catch.</w:t>
      </w:r>
    </w:p>
    <w:p>
      <w:pPr>
        <w:pStyle w:val="BodyText"/>
      </w:pPr>
      <w:r>
        <w:t xml:space="preserve">A link with a title:</w:t>
      </w:r>
      <w:r>
        <w:t xml:space="preserve"> </w:t>
      </w:r>
      <w:hyperlink r:id="rId5">
        <w:r>
          <w:rPr>
            <w:rStyle w:val="Hyperlink"/>
          </w:rPr>
          <w:t xml:space="preserve">the spec</w:t>
        </w:r>
      </w:hyperlink>
      <w:r>
        <w:t xml:space="preserve">.</w:t>
      </w:r>
      <w:r>
        <w:t xml:space="preserve"> </w:t>
      </w:r>
      <w:r>
        <w:t xml:space="preserve">A bare autolink:</w:t>
      </w:r>
      <w:r>
        <w:t xml:space="preserve"> </w:t>
      </w:r>
      <w:hyperlink r:id="rId6">
        <w:r>
          <w:rPr>
            <w:rStyle w:val="Hyperlink"/>
          </w:rPr>
          <w:t xml:space="preserve">https://example.com/status</w:t>
        </w:r>
      </w:hyperlink>
      <w:r>
        <w:t xml:space="preserve">. An email:</w:t>
      </w:r>
      <w:r>
        <w:t xml:space="preserve"> </w:t>
      </w:r>
      <w:hyperlink r:id="rId7">
        <w:r>
          <w:rPr>
            <w:rStyle w:val="Hyperlink"/>
          </w:rPr>
          <w:t xml:space="preserve">ops@example.com</w:t>
        </w:r>
      </w:hyperlink>
      <w:r>
        <w:t xml:space="preserve">.</w:t>
      </w:r>
    </w:p>
    <w:p>
      <w:pPr>
        <w:pStyle w:val="BodyText"/>
      </w:pPr>
      <w:r>
        <w:t xml:space="preserve">An image:</w:t>
      </w:r>
      <w:r>
        <w:t xml:space="preserve"> </w:t>
      </w:r>
      <w:r>
        <w:drawing>
          <wp:inline>
            <wp:extent cx="812800" cy="406400"/>
            <wp:docPr id="1" name="Picture" descr="the logo" title="Project logo"/>
            <a:graphic>
              <a:graphicData uri="http://schemas.openxmlformats.org/drawingml/2006/picture">
                <pic:pic>
                  <pic:nvPicPr>
                    <pic:cNvPr id="0" name="Picture" descr="the logo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Raw HTML block, which not every target format can hold.</w:t>
      </w:r>
    </w:p>
    <w:p>
      <w:pPr>
        <w:pStyle w:val="BodyText"/>
      </w:pPr>
      <w:r>
        <w:t xml:space="preserve">Nested quoting:</w:t>
      </w:r>
    </w:p>
    <w:p>
      <w:pPr>
        <w:pStyle w:val="BlockText"/>
      </w:pPr>
      <w:r>
        <w:t xml:space="preserve">Outer quote.</w:t>
      </w:r>
    </w:p>
    <w:p>
      <w:pPr>
        <w:pStyle w:val="BlockText"/>
      </w:pPr>
      <w:r>
        <w:t xml:space="preserve">Inner quote, with a list:</w:t>
      </w:r>
    </w:p>
    <w:p>
      <w:pPr>
        <w:pStyle w:val="Compact"/>
        <w:numPr>
          <w:ilvl w:val="0"/>
          <w:numId w:val="1004"/>
        </w:numPr>
      </w:pPr>
      <w:r>
        <w:t xml:space="preserve">one</w:t>
      </w:r>
    </w:p>
    <w:p>
      <w:pPr>
        <w:pStyle w:val="Compact"/>
        <w:numPr>
          <w:ilvl w:val="0"/>
          <w:numId w:val="1004"/>
        </w:numPr>
      </w:pPr>
      <w:r>
        <w:t xml:space="preserve">two</w:t>
      </w:r>
    </w:p>
    <w:p>
      <w:pPr>
        <w:pStyle w:val="Heading2"/>
      </w:pPr>
      <w:r>
        <w:t xml:space="preserve">Sign-off</w:t>
      </w:r>
    </w:p>
    <w:p>
      <w:pPr>
        <w:pStyle w:val="BodyText"/>
      </w:pPr>
      <w:r>
        <w:t xml:space="preserve">Contact</w:t>
      </w:r>
      <w:r>
        <w:t xml:space="preserve"> </w:t>
      </w:r>
      <w:hyperlink r:id="rId9">
        <w:r>
          <w:rPr>
            <w:rStyle w:val="Hyperlink"/>
          </w:rPr>
          <w:t xml:space="preserve">ops@example.com</w:t>
        </w:r>
      </w:hyperlink>
      <w:r>
        <w:t xml:space="preserve"> </w:t>
      </w:r>
      <w:r>
        <w:t xml:space="preserve">with questions.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 for</w:t>
      </w:r>
      <w:r>
        <w:t xml:space="preserve"> </w:t>
      </w:r>
      <w:r>
        <w:t xml:space="preserve">terms.</w:t>
      </w:r>
    </w:p>
    <w:sectPr/>
  </w:body>
</w:document>
</file>

<file path=word/footnotes.xml><?xml version="1.0" encoding="utf-8"?>
<w:footnotes xmlns:w="http://schemas.openxmlformats.org/wordprocessingml/2006/main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pPr>
        <w:pStyle w:val="FootnoteText"/>
      </w:pPr>
      <w:r>
        <w:t xml:space="preserve">Footnote bodies can contain</w:t>
      </w:r>
      <w:r>
        <w:t xml:space="preserve"> </w:t>
      </w:r>
      <w:r>
        <w:rPr>
          <w:b/>
        </w:rPr>
        <w:t xml:space="preserve">formatting</w:t>
      </w:r>
      <w:r>
        <w:t xml:space="preserve"> </w:t>
      </w:r>
      <w:r>
        <w:t xml:space="preserve">and a</w:t>
      </w:r>
      <w:r>
        <w:t xml:space="preserve"> </w:t>
      </w:r>
      <w:hyperlink r:id="rId4">
        <w:r>
          <w:rPr>
            <w:rStyle w:val="Hyperlink"/>
          </w:rPr>
          <w:t xml:space="preserve">link</w:t>
        </w:r>
      </w:hyperlink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00">
    <w:multiLevelType w:val="multilevel"/>
    <w:lvl w:ilvl="0">
      <w:start w:val="1"/>
      <w:numFmt w:val="bullet"/>
      <w:lvlText w:val=" "/>
      <w:lvlJc w:val="left"/>
      <w:pPr>
        <w:ind w:left="720" w:hanging="360"/>
      </w:pPr>
    </w:lvl>
    <w:lvl w:ilvl="1">
      <w:start w:val="1"/>
      <w:numFmt w:val="bullet"/>
      <w:lvlText w:val=" "/>
      <w:lvlJc w:val="left"/>
      <w:pPr>
        <w:ind w:left="1440" w:hanging="360"/>
      </w:pPr>
    </w:lvl>
    <w:lvl w:ilvl="2">
      <w:start w:val="1"/>
      <w:numFmt w:val="bullet"/>
      <w:lvlText w:val=" "/>
      <w:lvlJc w:val="left"/>
      <w:pPr>
        <w:ind w:left="2160" w:hanging="360"/>
      </w:pPr>
    </w:lvl>
    <w:lvl w:ilvl="3">
      <w:start w:val="1"/>
      <w:numFmt w:val="bullet"/>
      <w:lvlText w:val=" "/>
      <w:lvlJc w:val="left"/>
      <w:pPr>
        <w:ind w:left="2880" w:hanging="360"/>
      </w:pPr>
    </w:lvl>
    <w:lvl w:ilvl="4">
      <w:start w:val="1"/>
      <w:numFmt w:val="bullet"/>
      <w:lvlText w:val=" "/>
      <w:lvlJc w:val="left"/>
      <w:pPr>
        <w:ind w:left="3600" w:hanging="360"/>
      </w:pPr>
    </w:lvl>
    <w:lvl w:ilvl="5">
      <w:start w:val="1"/>
      <w:numFmt w:val="bullet"/>
      <w:lvlText w:val=" "/>
      <w:lvlJc w:val="left"/>
      <w:pPr>
        <w:ind w:left="4320" w:hanging="360"/>
      </w:pPr>
    </w:lvl>
    <w:lvl w:ilvl="6">
      <w:start w:val="1"/>
      <w:numFmt w:val="bullet"/>
      <w:lvlText w:val=" "/>
      <w:lvlJc w:val="left"/>
      <w:pPr>
        <w:ind w:left="5040" w:hanging="360"/>
      </w:pPr>
    </w:lvl>
    <w:lvl w:ilvl="7">
      <w:start w:val="1"/>
      <w:numFmt w:val="bullet"/>
      <w:lvlText w:val=" "/>
      <w:lvlJc w:val="left"/>
      <w:pPr>
        <w:ind w:left="5760" w:hanging="360"/>
      </w:pPr>
    </w:lvl>
    <w:lvl w:ilvl="8">
      <w:start w:val="1"/>
      <w:numFmt w:val="bullet"/>
      <w:lvlText w:val=" "/>
      <w:lvlJc w:val="left"/>
      <w:pPr>
        <w:ind w:left="6480" w:hanging="360"/>
      </w:pPr>
    </w:lvl>
  </w:abstractNum>
  <w:abstractNum w:abstractNumId="90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02">
    <w:multiLevelType w:val="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•"/>
      <w:lvlJc w:val="left"/>
      <w:pPr>
        <w:ind w:left="5760" w:hanging="360"/>
      </w:pPr>
    </w:lvl>
    <w:lvl w:ilvl="8">
      <w:start w:val="1"/>
      <w:numFmt w:val="bullet"/>
      <w:lvlText w:val="•"/>
      <w:lvlJc w:val="left"/>
      <w:pPr>
        <w:ind w:left="6480" w:hanging="360"/>
      </w:pPr>
    </w:lvl>
  </w:abstractNum>
  <w:abstractNum w:abstractNumId="903">
    <w:multiLevelType w:val="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•"/>
      <w:lvlJc w:val="left"/>
      <w:pPr>
        <w:ind w:left="5760" w:hanging="360"/>
      </w:pPr>
    </w:lvl>
    <w:lvl w:ilvl="8">
      <w:start w:val="1"/>
      <w:numFmt w:val="bullet"/>
      <w:lvlText w:val="•"/>
      <w:lvlJc w:val="left"/>
      <w:pPr>
        <w:ind w:left="6480" w:hanging="360"/>
      </w:pPr>
    </w:lvl>
  </w:abstractNum>
  <w:abstractNum w:abstractNumId="904">
    <w:multiLevelType w:val="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•"/>
      <w:lvlJc w:val="left"/>
      <w:pPr>
        <w:ind w:left="5760" w:hanging="360"/>
      </w:pPr>
    </w:lvl>
    <w:lvl w:ilvl="8">
      <w:start w:val="1"/>
      <w:numFmt w:val="bullet"/>
      <w:lvlText w:val="•"/>
      <w:lvlJc w:val="left"/>
      <w:pPr>
        <w:ind w:left="6480" w:hanging="360"/>
      </w:pPr>
    </w:lvl>
  </w:abstractNum>
  <w:num w:numId="1000">
    <w:abstractNumId w:val="900"/>
  </w:num>
  <w:num w:numId="1001">
    <w:abstractNumId w:val="901"/>
    <w:lvlOverride w:ilvl="0">
      <w:startOverride w:val="1"/>
    </w:lvlOverride>
  </w:num>
  <w:num w:numId="1002">
    <w:abstractNumId w:val="902"/>
    <w:lvlOverride w:ilvl="0">
      <w:startOverride w:val="1"/>
    </w:lvlOverride>
  </w:num>
  <w:num w:numId="1003">
    <w:abstractNumId w:val="903"/>
    <w:lvlOverride w:ilvl="0">
      <w:startOverride w:val="1"/>
    </w:lvlOverride>
  </w:num>
  <w:num w:numId="1004">
    <w:abstractNumId w:val="904"/>
    <w:lvlOverride w:ilvl="0">
      <w:startOverride w:val="1"/>
    </w:lvlOverride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BodyText">
    <w:name w:val="Body Text"/>
    <w:basedOn w:val="Normal"/>
  </w:style>
  <w:style w:type="paragraph" w:styleId="Compact">
    <w:name w:val="Compact"/>
    <w:basedOn w:val="BodyText"/>
  </w:style>
  <w:style w:type="paragraph" w:styleId="SourceCode">
    <w:name w:val="Source Code"/>
    <w:basedOn w:val="Normal"/>
  </w:style>
  <w:style w:type="paragraph" w:styleId="BlockText">
    <w:name w:val="Block Text"/>
    <w:basedOn w:val="BodyText"/>
  </w:style>
  <w:style w:type="paragraph" w:styleId="FootnoteText">
    <w:name w:val="Footnote Text"/>
    <w:basedOn w:val="Normal"/>
  </w:style>
  <w:style w:type="paragraph" w:styleId="DefinitionTerm">
    <w:name w:val="Definition Term"/>
    <w:basedOn w:val="Normal"/>
  </w:style>
  <w:style w:type="paragraph" w:styleId="Definition">
    <w:name w:val="Definition"/>
    <w:basedOn w:val="Normal"/>
  </w:style>
  <w:style w:type="paragraph" w:styleId="Title">
    <w:name w:val="Title"/>
    <w:basedOn w:val="Normal"/>
  </w:style>
  <w:style w:type="paragraph" w:styleId="Subtitle">
    <w:name w:val="Subtitle"/>
    <w:basedOn w:val="Normal"/>
  </w:style>
  <w:style w:type="paragraph" w:styleId="Author">
    <w:name w:val="Author"/>
    <w:basedOn w:val="Normal"/>
  </w:style>
  <w:style w:type="paragraph" w:styleId="Date">
    <w:name w:val="Date"/>
    <w:basedOn w:val="Normal"/>
  </w:style>
  <w:style w:type="paragraph" w:styleId="CaptionedFigure">
    <w:name w:val="Captioned Figure"/>
    <w:basedOn w:val="Normal"/>
  </w:style>
  <w:style w:type="paragraph" w:styleId="ImageCaption">
    <w:name w:val="Image Caption"/>
    <w:basedOn w:val="Normal"/>
  </w:style>
  <w:style w:type="paragraph" w:styleId="TableCaption">
    <w:name w:val="Table Caption"/>
    <w:basedOn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Heading3">
    <w:name w:val="heading 3"/>
    <w:basedOn w:val="Normal"/>
  </w:style>
  <w:style w:type="paragraph" w:styleId="Heading4">
    <w:name w:val="heading 4"/>
    <w:basedOn w:val="Normal"/>
  </w:style>
  <w:style w:type="paragraph" w:styleId="Heading5">
    <w:name w:val="heading 5"/>
    <w:basedOn w:val="Normal"/>
  </w:style>
  <w:style w:type="paragraph" w:styleId="Heading6">
    <w:name w:val="heading 6"/>
    <w:basedOn w:val="Normal"/>
  </w:style>
  <w:style w:type="paragraph" w:styleId="Heading7">
    <w:name w:val="heading 7"/>
    <w:basedOn w:val="Normal"/>
  </w:style>
  <w:style w:type="paragraph" w:styleId="Heading8">
    <w:name w:val="heading 8"/>
    <w:basedOn w:val="Normal"/>
  </w:style>
  <w:style w:type="paragraph" w:styleId="Heading9">
    <w:name w:val="heading 9"/>
    <w:basedOn w:val="Normal"/>
  </w:style>
  <w:style w:type="character" w:styleId="VerbatimChar">
    <w:name w:val="Verbatim Char"/>
  </w:style>
  <w:style w:type="character" w:styleId="Hyperlink">
    <w:name w:val="Hyperlink"/>
  </w:style>
  <w:style w:type="character" w:styleId="FootnoteReference">
    <w:name w:val="Footnote Reference"/>
  </w:style>
  <w:style w:type="table" w:styleId="Table">
    <w:name w:val="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hyperlink" Target="https://example.com" TargetMode="External"/><Relationship Id="rId5" Type="http://schemas.openxmlformats.org/officeDocument/2006/relationships/hyperlink" Target="https://example.com/spec" TargetMode="External"/><Relationship Id="rId6" Type="http://schemas.openxmlformats.org/officeDocument/2006/relationships/hyperlink" Target="https://example.com/status" TargetMode="External"/><Relationship Id="rId7" Type="http://schemas.openxmlformats.org/officeDocument/2006/relationships/hyperlink" Target="mailto:ops@example.com" TargetMode="External"/><Relationship Id="rId8" Type="http://schemas.openxmlformats.org/officeDocument/2006/relationships/image" Target="media/image5.png"/><Relationship Id="rId9" Type="http://schemas.openxmlformats.org/officeDocument/2006/relationships/hyperlink" Target="mailto:ops@example.com" TargetMode="External"/></Relationships>
</file>

<file path=word/_rels/footnotes.xml.rels><?xml version="1.0" encoding="UTF-8" standalone="yes"?><Relationships xmlns="http://schemas.openxmlformats.org/package/2006/relationships"><Relationship Id="rId4" Type="http://schemas.openxmlformats.org/officeDocument/2006/relationships/hyperlink" Target="https://example.com" TargetMode="External"/><Relationship Id="rId5" Type="http://schemas.openxmlformats.org/officeDocument/2006/relationships/hyperlink" Target="https://example.com/spec" TargetMode="External"/><Relationship Id="rId6" Type="http://schemas.openxmlformats.org/officeDocument/2006/relationships/hyperlink" Target="https://example.com/status" TargetMode="External"/><Relationship Id="rId7" Type="http://schemas.openxmlformats.org/officeDocument/2006/relationships/hyperlink" Target="mailto:ops@example.com" TargetMode="External"/><Relationship Id="rId8" Type="http://schemas.openxmlformats.org/officeDocument/2006/relationships/image" Target="media/image5.png"/><Relationship Id="rId9" Type="http://schemas.openxmlformats.org/officeDocument/2006/relationships/hyperlink" Target="mailto:ops@example.com" TargetMode="External"/></Relationships>
</file>