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80"/>
      </w:pPr>
      <w:r>
        <w:rPr>
          <w:rFonts w:ascii="Calibri" w:hAnsi="Calibri"/>
          <w:b/>
          <w:color w:val="1A56A0"/>
          <w:sz w:val="40"/>
        </w:rPr>
        <w:t>COMPENDIO GIURIDICO PER L'ESAME DI ABILITAZIONE A GUIDA TURISTICA</w:t>
      </w:r>
    </w:p>
    <w:p>
      <w:pPr>
        <w:keepNext/>
        <w:spacing w:before="280" w:after="80"/>
      </w:pPr>
      <w:r>
        <w:rPr>
          <w:rFonts w:ascii="Calibri" w:hAnsi="Calibri"/>
          <w:b/>
          <w:color w:val="1A56A0"/>
          <w:sz w:val="28"/>
        </w:rPr>
        <w:t>Sintesi Operativa delle Fonti Normative (Bando Nazionale - Allegato 3, Sezione IV)</w:t>
      </w:r>
    </w:p>
    <w:p>
      <w:pPr>
        <w:keepNext/>
        <w:spacing w:before="200" w:after="60"/>
      </w:pPr>
      <w:r>
        <w:rPr>
          <w:rFonts w:ascii="Calibri" w:hAnsi="Calibri"/>
          <w:b/>
          <w:color w:val="2980B9"/>
          <w:sz w:val="23"/>
        </w:rPr>
        <w:t>INTRODUZIONE E GUIDA ALLO STUDIO</w:t>
      </w:r>
    </w:p>
    <w:p>
      <w:pPr>
        <w:spacing w:before="40" w:after="60" w:line="276" w:lineRule="auto"/>
      </w:pPr>
      <w:r>
        <w:rPr>
          <w:rFonts w:ascii="Calibri" w:hAnsi="Calibri"/>
          <w:color w:val="2C3E50"/>
          <w:sz w:val="21"/>
        </w:rPr>
        <w:t xml:space="preserve">Il presente compendio sviluppa in modo organico e dettagliato le materie giuridiche previste dal </w:t>
      </w:r>
      <w:r>
        <w:rPr>
          <w:rFonts w:ascii="Calibri" w:hAnsi="Calibri"/>
          <w:b/>
          <w:color w:val="2C3E50"/>
          <w:sz w:val="21"/>
        </w:rPr>
        <w:t>Programma d'Esame (Sezione IV del Bando)</w:t>
      </w:r>
      <w:r>
        <w:rPr>
          <w:rFonts w:ascii="Calibri" w:hAnsi="Calibri"/>
          <w:color w:val="2C3E50"/>
          <w:sz w:val="21"/>
        </w:rPr>
        <w:t>.</w:t>
      </w:r>
    </w:p>
    <w:p>
      <w:pPr>
        <w:spacing w:before="40" w:after="60" w:line="276" w:lineRule="auto"/>
      </w:pPr>
      <w:r>
        <w:rPr>
          <w:rFonts w:ascii="Calibri" w:hAnsi="Calibri"/>
          <w:color w:val="2C3E50"/>
          <w:sz w:val="21"/>
        </w:rPr>
        <w:t>Non è un semplice indice, ma uno strumento di studio ad alto rendimento che raccoglie:</w:t>
      </w:r>
    </w:p>
    <w:p>
      <w:pPr>
        <w:pStyle w:val="ListNumber"/>
        <w:spacing w:before="30" w:after="30" w:line="276" w:lineRule="auto"/>
      </w:pPr>
      <w:r>
        <w:rPr>
          <w:rFonts w:ascii="Calibri" w:hAnsi="Calibri"/>
          <w:color w:val="2C3E50"/>
          <w:sz w:val="21"/>
        </w:rPr>
        <w:t>Le fonti normative vigenti e i relativi articoli cardine.</w:t>
      </w:r>
    </w:p>
    <w:p>
      <w:pPr>
        <w:pStyle w:val="ListNumber"/>
        <w:spacing w:before="30" w:after="30" w:line="276" w:lineRule="auto"/>
      </w:pPr>
      <w:r>
        <w:rPr>
          <w:rFonts w:ascii="Calibri" w:hAnsi="Calibri"/>
          <w:color w:val="2C3E50"/>
          <w:sz w:val="21"/>
        </w:rPr>
        <w:t>Definizioni legali letterali e nozioni dottrinali.</w:t>
      </w:r>
    </w:p>
    <w:p>
      <w:pPr>
        <w:pStyle w:val="ListNumber"/>
        <w:spacing w:before="30" w:after="30" w:line="276" w:lineRule="auto"/>
      </w:pPr>
      <w:r>
        <w:rPr>
          <w:rFonts w:ascii="Calibri" w:hAnsi="Calibri"/>
          <w:color w:val="2C3E50"/>
          <w:sz w:val="21"/>
        </w:rPr>
        <w:t>Schemi di sintesi e distinzioni essenziali (tutela vs valorizzazione, pacchetti vs servizi collegati, ecc.).</w:t>
      </w:r>
    </w:p>
    <w:p>
      <w:pPr>
        <w:pStyle w:val="ListNumber"/>
        <w:spacing w:before="30" w:after="30" w:line="276" w:lineRule="auto"/>
      </w:pPr>
      <w:r>
        <w:rPr>
          <w:rFonts w:ascii="Calibri" w:hAnsi="Calibri"/>
          <w:color w:val="2C3E50"/>
          <w:sz w:val="21"/>
        </w:rPr>
        <w:t>Tabelle sanzionatorie, requisiti e procedure d'esame (L. 190/2023 e D.M. 88/2024).</w:t>
      </w:r>
    </w:p>
    <w:p>
      <w:pPr>
        <w:pStyle w:val="ListNumber"/>
        <w:spacing w:before="30" w:after="30" w:line="276" w:lineRule="auto"/>
      </w:pPr>
      <w:r>
        <w:rPr>
          <w:rFonts w:ascii="Calibri" w:hAnsi="Calibri"/>
          <w:color w:val="2C3E50"/>
          <w:sz w:val="21"/>
        </w:rPr>
        <w:t>Focus su accessibilità, inclusività (ISO 21902, L. 104/1992, D.Lgs. 29/2024) e ruoli istituzionali.</w:t>
      </w:r>
    </w:p>
    <w:p>
      <w:pPr>
        <w:keepNext/>
        <w:spacing w:before="280" w:after="80"/>
      </w:pPr>
      <w:r>
        <w:rPr>
          <w:rFonts w:ascii="Calibri" w:hAnsi="Calibri"/>
          <w:b/>
          <w:color w:val="1A56A0"/>
          <w:sz w:val="28"/>
        </w:rPr>
        <w:t>1. DISCIPLINA DEI BENI CULTURALI E DEL PAESAGGIO</w:t>
      </w:r>
    </w:p>
    <w:p>
      <w:pPr>
        <w:spacing w:before="40" w:after="60" w:line="276" w:lineRule="auto"/>
      </w:pPr>
      <w:r>
        <w:rPr>
          <w:rFonts w:ascii="Calibri" w:hAnsi="Calibri"/>
          <w:color w:val="2C3E50"/>
          <w:sz w:val="21"/>
        </w:rPr>
      </w:r>
      <w:r>
        <w:rPr>
          <w:rFonts w:ascii="Calibri" w:hAnsi="Calibri"/>
          <w:b/>
          <w:color w:val="2C3E50"/>
          <w:sz w:val="21"/>
        </w:rPr>
        <w:t>Fonte primaria</w:t>
      </w:r>
      <w:r>
        <w:rPr>
          <w:rFonts w:ascii="Calibri" w:hAnsi="Calibri"/>
          <w:color w:val="2C3E50"/>
          <w:sz w:val="21"/>
        </w:rPr>
        <w:t>: D.Lgs. 22 gennaio 2004, n. 42 (Codice dei Beni Culturali e del Paesaggio - c.d. "Codice Urbani") e ss.mm.ii.</w:t>
      </w:r>
    </w:p>
    <w:p>
      <w:pPr>
        <w:spacing w:before="40" w:after="60" w:line="276" w:lineRule="auto"/>
      </w:pPr>
      <w:r>
        <w:rPr>
          <w:rFonts w:ascii="Calibri" w:hAnsi="Calibri"/>
          <w:color w:val="2C3E50"/>
          <w:sz w:val="21"/>
        </w:rPr>
      </w:r>
      <w:r>
        <w:rPr>
          <w:rFonts w:ascii="Calibri" w:hAnsi="Calibri"/>
          <w:b/>
          <w:color w:val="2C3E50"/>
          <w:sz w:val="21"/>
        </w:rPr>
        <w:t>Fondamento costituzionale</w:t>
      </w:r>
      <w:r>
        <w:rPr>
          <w:rFonts w:ascii="Calibri" w:hAnsi="Calibri"/>
          <w:color w:val="2C3E50"/>
          <w:sz w:val="21"/>
        </w:rPr>
        <w:t>: Art. 9 Costituzione ("La Repubblica promuove lo sviluppo della cultura... tutela il paesaggio e il patrimonio storico e artistico della Nazione").</w:t>
      </w:r>
    </w:p>
    <w:p>
      <w:pPr>
        <w:keepNext/>
        <w:spacing w:before="200" w:after="60"/>
      </w:pPr>
      <w:r>
        <w:rPr>
          <w:rFonts w:ascii="Calibri" w:hAnsi="Calibri"/>
          <w:b/>
          <w:color w:val="2980B9"/>
          <w:sz w:val="23"/>
        </w:rPr>
        <w:t>1.1 Il Patrimonio Culturale (Artt. 1 - 2)</w:t>
      </w:r>
    </w:p>
    <w:p>
      <w:pPr>
        <w:spacing w:before="40" w:after="60" w:line="276" w:lineRule="auto"/>
      </w:pPr>
      <w:r>
        <w:rPr>
          <w:rFonts w:ascii="Calibri" w:hAnsi="Calibri"/>
          <w:color w:val="2C3E50"/>
          <w:sz w:val="21"/>
        </w:rPr>
        <w:t xml:space="preserve">Il </w:t>
      </w:r>
      <w:r>
        <w:rPr>
          <w:rFonts w:ascii="Calibri" w:hAnsi="Calibri"/>
          <w:b/>
          <w:color w:val="2C3E50"/>
          <w:sz w:val="21"/>
        </w:rPr>
        <w:t>patrimonio culturale</w:t>
      </w:r>
      <w:r>
        <w:rPr>
          <w:rFonts w:ascii="Calibri" w:hAnsi="Calibri"/>
          <w:color w:val="2C3E50"/>
          <w:sz w:val="21"/>
        </w:rPr>
        <w:t xml:space="preserve"> (art. 2) è costituito dall'insieme dei:</w:t>
      </w:r>
    </w:p>
    <w:p>
      <w:pPr>
        <w:pStyle w:val="ListNumber"/>
        <w:spacing w:before="30" w:after="30" w:line="276" w:lineRule="auto"/>
      </w:pPr>
      <w:r>
        <w:rPr>
          <w:rFonts w:ascii="Calibri" w:hAnsi="Calibri"/>
          <w:color w:val="2C3E50"/>
          <w:sz w:val="21"/>
        </w:rPr>
      </w:r>
      <w:r>
        <w:rPr>
          <w:rFonts w:ascii="Calibri" w:hAnsi="Calibri"/>
          <w:b/>
          <w:color w:val="2C3E50"/>
          <w:sz w:val="21"/>
        </w:rPr>
        <w:t>Beni culturali</w:t>
      </w:r>
      <w:r>
        <w:rPr>
          <w:rFonts w:ascii="Calibri" w:hAnsi="Calibri"/>
          <w:color w:val="2C3E50"/>
          <w:sz w:val="21"/>
        </w:rPr>
        <w:t>: cose immobili e mobili appartenenti a soggetti pubblici o privati che presentano interesse artistico, storico, archeologico, etnoantropologico, archivistico e bibliografico, o altre cose individuate dalla legge quali testimonianze aventi valore di civiltà.</w:t>
      </w:r>
    </w:p>
    <w:p>
      <w:pPr>
        <w:pStyle w:val="ListNumber"/>
        <w:spacing w:before="30" w:after="30" w:line="276" w:lineRule="auto"/>
      </w:pPr>
      <w:r>
        <w:rPr>
          <w:rFonts w:ascii="Calibri" w:hAnsi="Calibri"/>
          <w:color w:val="2C3E50"/>
          <w:sz w:val="21"/>
        </w:rPr>
      </w:r>
      <w:r>
        <w:rPr>
          <w:rFonts w:ascii="Calibri" w:hAnsi="Calibri"/>
          <w:b/>
          <w:color w:val="2C3E50"/>
          <w:sz w:val="21"/>
        </w:rPr>
        <w:t>Beni paesaggistici</w:t>
      </w:r>
      <w:r>
        <w:rPr>
          <w:rFonts w:ascii="Calibri" w:hAnsi="Calibri"/>
          <w:color w:val="2C3E50"/>
          <w:sz w:val="21"/>
        </w:rPr>
        <w:t>: gli immobili e le aree costituenti espressione dei valori storici, culturali, naturali, morfologici ed estetici del territorio, e gli altri beni individuati dalla legge o in base ad essa.</w:t>
      </w:r>
    </w:p>
    <w:p>
      <w:pPr>
        <w:keepNext/>
        <w:spacing w:before="200" w:after="60"/>
      </w:pPr>
      <w:r>
        <w:rPr>
          <w:rFonts w:ascii="Calibri" w:hAnsi="Calibri"/>
          <w:b/>
          <w:color w:val="2980B9"/>
          <w:sz w:val="23"/>
        </w:rPr>
        <w:t>1.2 La Tripartizione delle Funzioni: Tutela, Valorizzazione, Fruizione</w:t>
      </w:r>
    </w:p>
    <w:p>
      <w:pPr>
        <w:spacing w:before="40" w:after="60" w:line="276" w:lineRule="auto"/>
      </w:pPr>
      <w:r>
        <w:rPr>
          <w:rFonts w:ascii="Calibri" w:hAnsi="Calibri"/>
          <w:color w:val="2C3E50"/>
          <w:sz w:val="21"/>
        </w:rPr>
        <w:t>Il Codice articola l'azione pubblica in tre funzioni coordinate gerarchicamente:</w:t>
      </w:r>
    </w:p>
    <w:p>
      <w:pPr>
        <w:pStyle w:val="ListBullet"/>
        <w:spacing w:before="30" w:after="30" w:line="276" w:lineRule="auto"/>
      </w:pPr>
      <w:r>
        <w:rPr>
          <w:rFonts w:ascii="Calibri" w:hAnsi="Calibri"/>
          <w:color w:val="2C3E50"/>
          <w:sz w:val="21"/>
        </w:rPr>
      </w:r>
      <w:r>
        <w:rPr>
          <w:rFonts w:ascii="Calibri" w:hAnsi="Calibri"/>
          <w:b/>
          <w:color w:val="2C3E50"/>
          <w:sz w:val="21"/>
        </w:rPr>
        <w:t>TUTELA (Art. 3)</w:t>
      </w:r>
      <w:r>
        <w:rPr>
          <w:rFonts w:ascii="Calibri" w:hAnsi="Calibri"/>
          <w:color w:val="2C3E50"/>
          <w:sz w:val="21"/>
        </w:rPr>
        <w:t>:</w:t>
      </w:r>
    </w:p>
    <w:p>
      <w:pPr>
        <w:pStyle w:val="ListBullet"/>
        <w:spacing w:before="30" w:after="30" w:line="276" w:lineRule="auto"/>
      </w:pPr>
      <w:r>
        <w:rPr>
          <w:rFonts w:ascii="Calibri" w:hAnsi="Calibri"/>
          <w:color w:val="2C3E50"/>
          <w:sz w:val="21"/>
        </w:rPr>
        <w:t>*Definizione*: L'esercizio delle funzioni e la disciplina delle attività dirette, sulla base di un'adeguata attività conoscitiva, a individuare i beni costituenti il patrimonio culturale e a garantirne la protezione e la conservazione per fini di pubblica fruizione.</w:t>
      </w:r>
    </w:p>
    <w:p>
      <w:pPr>
        <w:pStyle w:val="ListBullet"/>
        <w:spacing w:before="30" w:after="30" w:line="276" w:lineRule="auto"/>
      </w:pPr>
      <w:r>
        <w:rPr>
          <w:rFonts w:ascii="Calibri" w:hAnsi="Calibri"/>
          <w:color w:val="2C3E50"/>
          <w:sz w:val="21"/>
        </w:rPr>
        <w:t xml:space="preserve">*Competenza*: </w:t>
      </w:r>
      <w:r>
        <w:rPr>
          <w:rFonts w:ascii="Calibri" w:hAnsi="Calibri"/>
          <w:b/>
          <w:color w:val="2C3E50"/>
          <w:sz w:val="21"/>
        </w:rPr>
        <w:t>Esclusiva dello Stato</w:t>
      </w:r>
      <w:r>
        <w:rPr>
          <w:rFonts w:ascii="Calibri" w:hAnsi="Calibri"/>
          <w:color w:val="2C3E50"/>
          <w:sz w:val="21"/>
        </w:rPr>
        <w:t xml:space="preserve"> (Ministero della Cultura - MiC, attraverso le Soprintendenze Archeologia, Belle Arti e Paesaggio).</w:t>
      </w:r>
    </w:p>
    <w:p>
      <w:pPr>
        <w:pStyle w:val="ListBullet"/>
        <w:spacing w:before="30" w:after="30" w:line="276" w:lineRule="auto"/>
      </w:pPr>
      <w:r>
        <w:rPr>
          <w:rFonts w:ascii="Calibri" w:hAnsi="Calibri"/>
          <w:color w:val="2C3E50"/>
          <w:sz w:val="21"/>
        </w:rPr>
        <w:t>*Misure*: Vincolo di tutela (dichiarazione di interesse culturale ex art. 13), autorizzazioni preventive per lavori o restauri (art. 21), vigilanza e ispezione (artt. 18-19).</w:t>
      </w:r>
    </w:p>
    <w:p>
      <w:pPr>
        <w:pStyle w:val="ListBullet"/>
        <w:spacing w:before="30" w:after="30" w:line="276" w:lineRule="auto"/>
      </w:pPr>
      <w:r>
        <w:rPr>
          <w:rFonts w:ascii="Calibri" w:hAnsi="Calibri"/>
          <w:color w:val="2C3E50"/>
          <w:sz w:val="21"/>
        </w:rPr>
      </w:r>
      <w:r>
        <w:rPr>
          <w:rFonts w:ascii="Calibri" w:hAnsi="Calibri"/>
          <w:b/>
          <w:color w:val="2C3E50"/>
          <w:sz w:val="21"/>
        </w:rPr>
        <w:t>VALORIZZAZIONE (Art. 6)</w:t>
      </w:r>
      <w:r>
        <w:rPr>
          <w:rFonts w:ascii="Calibri" w:hAnsi="Calibri"/>
          <w:color w:val="2C3E50"/>
          <w:sz w:val="21"/>
        </w:rPr>
        <w:t>:</w:t>
      </w:r>
    </w:p>
    <w:p>
      <w:pPr>
        <w:pStyle w:val="ListBullet"/>
        <w:spacing w:before="30" w:after="30" w:line="276" w:lineRule="auto"/>
      </w:pPr>
      <w:r>
        <w:rPr>
          <w:rFonts w:ascii="Calibri" w:hAnsi="Calibri"/>
          <w:color w:val="2C3E50"/>
          <w:sz w:val="21"/>
        </w:rPr>
        <w:t>*Definizione*: L'esercizio delle funzioni e la disciplina delle attività dirette a promuovere la conoscenza del patrimonio culturale e ad assicurare le migliori condizioni di utilizzazione e fruizione pubblica del patrimonio stesso, anche da parte delle persone con disabilità, al fine di promuovere lo sviluppo della cultura.</w:t>
      </w:r>
    </w:p>
    <w:p>
      <w:pPr>
        <w:pStyle w:val="ListBullet"/>
        <w:spacing w:before="30" w:after="30" w:line="276" w:lineRule="auto"/>
      </w:pPr>
      <w:r>
        <w:rPr>
          <w:rFonts w:ascii="Calibri" w:hAnsi="Calibri"/>
          <w:color w:val="2C3E50"/>
          <w:sz w:val="21"/>
        </w:rPr>
        <w:t xml:space="preserve">*Competenza*: </w:t>
      </w:r>
      <w:r>
        <w:rPr>
          <w:rFonts w:ascii="Calibri" w:hAnsi="Calibri"/>
          <w:b/>
          <w:color w:val="2C3E50"/>
          <w:sz w:val="21"/>
        </w:rPr>
        <w:t>Concorrente Stato - Regioni</w:t>
      </w:r>
      <w:r>
        <w:rPr>
          <w:rFonts w:ascii="Calibri" w:hAnsi="Calibri"/>
          <w:color w:val="2C3E50"/>
          <w:sz w:val="21"/>
        </w:rPr>
        <w:t xml:space="preserve"> (art. 117, comma 3 Cost.).</w:t>
      </w:r>
    </w:p>
    <w:p>
      <w:pPr>
        <w:pStyle w:val="ListBullet"/>
        <w:spacing w:before="30" w:after="30" w:line="276" w:lineRule="auto"/>
      </w:pPr>
      <w:r>
        <w:rPr>
          <w:rFonts w:ascii="Calibri" w:hAnsi="Calibri"/>
          <w:color w:val="2C3E50"/>
          <w:sz w:val="21"/>
        </w:rPr>
        <w:t>*Principio di subordinazione (Art. 6, comma 2)*: La valorizzazione è attuata in forme compatibili con la tutela e tali da non pregiudicarne le esigenze ("La tutela prevale e precede la valorizzazione").</w:t>
      </w:r>
    </w:p>
    <w:p>
      <w:pPr>
        <w:pStyle w:val="ListBullet"/>
        <w:spacing w:before="30" w:after="30" w:line="276" w:lineRule="auto"/>
      </w:pPr>
      <w:r>
        <w:rPr>
          <w:rFonts w:ascii="Calibri" w:hAnsi="Calibri"/>
          <w:color w:val="2C3E50"/>
          <w:sz w:val="21"/>
        </w:rPr>
        <w:t>*Ruolo dei privati (Art. 6, comma 3)*: La Repubblica favorisce e sostiene la partecipazione dei privati, singoli o associati, alla valorizzazione.</w:t>
      </w:r>
    </w:p>
    <w:p>
      <w:pPr>
        <w:pStyle w:val="ListBullet"/>
        <w:spacing w:before="30" w:after="30" w:line="276" w:lineRule="auto"/>
      </w:pPr>
      <w:r>
        <w:rPr>
          <w:rFonts w:ascii="Calibri" w:hAnsi="Calibri"/>
          <w:color w:val="2C3E50"/>
          <w:sz w:val="21"/>
        </w:rPr>
      </w:r>
      <w:r>
        <w:rPr>
          <w:rFonts w:ascii="Calibri" w:hAnsi="Calibri"/>
          <w:b/>
          <w:color w:val="2C3E50"/>
          <w:sz w:val="21"/>
        </w:rPr>
        <w:t>FRUIZIONE PUBBLICA (Artt. 101 - 110)</w:t>
      </w:r>
      <w:r>
        <w:rPr>
          <w:rFonts w:ascii="Calibri" w:hAnsi="Calibri"/>
          <w:color w:val="2C3E50"/>
          <w:sz w:val="21"/>
        </w:rPr>
        <w:t>:</w:t>
      </w:r>
    </w:p>
    <w:p>
      <w:pPr>
        <w:pStyle w:val="ListBullet"/>
        <w:spacing w:before="30" w:after="30" w:line="276" w:lineRule="auto"/>
      </w:pPr>
      <w:r>
        <w:rPr>
          <w:rFonts w:ascii="Calibri" w:hAnsi="Calibri"/>
          <w:color w:val="2C3E50"/>
          <w:sz w:val="21"/>
        </w:rPr>
        <w:t>Fine ultimo sia della tutela che della valorizzazione. L'art. 102 stabilisce che gli istituti e i luoghi della cultura pubblici sono destinati alla pubblica fruizione garantita secondo principi di continuità, adeguatezza, ragionevolezza e non discriminazione.</w:t>
      </w:r>
    </w:p>
    <w:p>
      <w:pPr>
        <w:keepNext/>
        <w:spacing w:before="200" w:after="60"/>
      </w:pPr>
      <w:r>
        <w:rPr>
          <w:rFonts w:ascii="Calibri" w:hAnsi="Calibri"/>
          <w:b/>
          <w:color w:val="2980B9"/>
          <w:sz w:val="23"/>
        </w:rPr>
        <w:t>1.3 Gli Istituti e i Luoghi della Cultura (Art. 101)</w:t>
      </w:r>
    </w:p>
    <w:p>
      <w:pPr>
        <w:spacing w:before="40" w:after="60" w:line="276" w:lineRule="auto"/>
      </w:pPr>
      <w:r>
        <w:rPr>
          <w:rFonts w:ascii="Calibri" w:hAnsi="Calibri"/>
          <w:color w:val="2C3E50"/>
          <w:sz w:val="21"/>
        </w:rPr>
        <w:t>Definizioni fondamentali per l'attività di guida turistica:</w:t>
      </w:r>
    </w:p>
    <w:p>
      <w:pPr>
        <w:pStyle w:val="ListBullet"/>
        <w:spacing w:before="30" w:after="30" w:line="276" w:lineRule="auto"/>
      </w:pPr>
      <w:r>
        <w:rPr>
          <w:rFonts w:ascii="Calibri" w:hAnsi="Calibri"/>
          <w:color w:val="2C3E50"/>
          <w:sz w:val="21"/>
        </w:rPr>
      </w:r>
      <w:r>
        <w:rPr>
          <w:rFonts w:ascii="Calibri" w:hAnsi="Calibri"/>
          <w:b/>
          <w:color w:val="2C3E50"/>
          <w:sz w:val="21"/>
        </w:rPr>
        <w:t>Museo</w:t>
      </w:r>
      <w:r>
        <w:rPr>
          <w:rFonts w:ascii="Calibri" w:hAnsi="Calibri"/>
          <w:color w:val="2C3E50"/>
          <w:sz w:val="21"/>
        </w:rPr>
        <w:t>: Struttura permanente che acquisisce, cataloga, conserva, ordina ed espone beni culturali per finalità di educazione e di studio.</w:t>
      </w:r>
    </w:p>
    <w:p>
      <w:pPr>
        <w:pStyle w:val="ListBullet"/>
        <w:spacing w:before="30" w:after="30" w:line="276" w:lineRule="auto"/>
      </w:pPr>
      <w:r>
        <w:rPr>
          <w:rFonts w:ascii="Calibri" w:hAnsi="Calibri"/>
          <w:color w:val="2C3E50"/>
          <w:sz w:val="21"/>
        </w:rPr>
      </w:r>
      <w:r>
        <w:rPr>
          <w:rFonts w:ascii="Calibri" w:hAnsi="Calibri"/>
          <w:b/>
          <w:color w:val="2C3E50"/>
          <w:sz w:val="21"/>
        </w:rPr>
        <w:t>Biblioteca</w:t>
      </w:r>
      <w:r>
        <w:rPr>
          <w:rFonts w:ascii="Calibri" w:hAnsi="Calibri"/>
          <w:color w:val="2C3E50"/>
          <w:sz w:val="21"/>
        </w:rPr>
        <w:t>: Struttura permanente che raccoglie, cataloga e conserva un insieme organizzato di libri, materiali e informazioni per finalità di consultazione, lettura e ricerca.</w:t>
      </w:r>
    </w:p>
    <w:p>
      <w:pPr>
        <w:pStyle w:val="ListBullet"/>
        <w:spacing w:before="30" w:after="30" w:line="276" w:lineRule="auto"/>
      </w:pPr>
      <w:r>
        <w:rPr>
          <w:rFonts w:ascii="Calibri" w:hAnsi="Calibri"/>
          <w:color w:val="2C3E50"/>
          <w:sz w:val="21"/>
        </w:rPr>
      </w:r>
      <w:r>
        <w:rPr>
          <w:rFonts w:ascii="Calibri" w:hAnsi="Calibri"/>
          <w:b/>
          <w:color w:val="2C3E50"/>
          <w:sz w:val="21"/>
        </w:rPr>
        <w:t>Archivio</w:t>
      </w:r>
      <w:r>
        <w:rPr>
          <w:rFonts w:ascii="Calibri" w:hAnsi="Calibri"/>
          <w:color w:val="2C3E50"/>
          <w:sz w:val="21"/>
        </w:rPr>
        <w:t>: Struttura permanente che raccoglie, inventaria e conserva documenti originali di interesse storico per finalità di ricerca e memoria.</w:t>
      </w:r>
    </w:p>
    <w:p>
      <w:pPr>
        <w:pStyle w:val="ListBullet"/>
        <w:spacing w:before="30" w:after="30" w:line="276" w:lineRule="auto"/>
      </w:pPr>
      <w:r>
        <w:rPr>
          <w:rFonts w:ascii="Calibri" w:hAnsi="Calibri"/>
          <w:color w:val="2C3E50"/>
          <w:sz w:val="21"/>
        </w:rPr>
      </w:r>
      <w:r>
        <w:rPr>
          <w:rFonts w:ascii="Calibri" w:hAnsi="Calibri"/>
          <w:b/>
          <w:color w:val="2C3E50"/>
          <w:sz w:val="21"/>
        </w:rPr>
        <w:t>Area archeologica</w:t>
      </w:r>
      <w:r>
        <w:rPr>
          <w:rFonts w:ascii="Calibri" w:hAnsi="Calibri"/>
          <w:color w:val="2C3E50"/>
          <w:sz w:val="21"/>
        </w:rPr>
        <w:t>: Sito caratterizzato dalla presenza di resti di natura fossile o di manufatti e strutture preistoriche o antiche.</w:t>
      </w:r>
    </w:p>
    <w:p>
      <w:pPr>
        <w:pStyle w:val="ListBullet"/>
        <w:spacing w:before="30" w:after="30" w:line="276" w:lineRule="auto"/>
      </w:pPr>
      <w:r>
        <w:rPr>
          <w:rFonts w:ascii="Calibri" w:hAnsi="Calibri"/>
          <w:color w:val="2C3E50"/>
          <w:sz w:val="21"/>
        </w:rPr>
      </w:r>
      <w:r>
        <w:rPr>
          <w:rFonts w:ascii="Calibri" w:hAnsi="Calibri"/>
          <w:b/>
          <w:color w:val="2C3E50"/>
          <w:sz w:val="21"/>
        </w:rPr>
        <w:t>Parco archeologico</w:t>
      </w:r>
      <w:r>
        <w:rPr>
          <w:rFonts w:ascii="Calibri" w:hAnsi="Calibri"/>
          <w:color w:val="2C3E50"/>
          <w:sz w:val="21"/>
        </w:rPr>
        <w:t>: Ambito territoriale caratterizzato da importanti evidenze archeologiche e dalla compresenza di valori storici, paesaggistici o ambientali, attrezzato come museo all'aperto.</w:t>
      </w:r>
    </w:p>
    <w:p>
      <w:pPr>
        <w:pStyle w:val="ListBullet"/>
        <w:spacing w:before="30" w:after="30" w:line="276" w:lineRule="auto"/>
      </w:pPr>
      <w:r>
        <w:rPr>
          <w:rFonts w:ascii="Calibri" w:hAnsi="Calibri"/>
          <w:color w:val="2C3E50"/>
          <w:sz w:val="21"/>
        </w:rPr>
      </w:r>
      <w:r>
        <w:rPr>
          <w:rFonts w:ascii="Calibri" w:hAnsi="Calibri"/>
          <w:b/>
          <w:color w:val="2C3E50"/>
          <w:sz w:val="21"/>
        </w:rPr>
        <w:t>Complesso monumentale</w:t>
      </w:r>
      <w:r>
        <w:rPr>
          <w:rFonts w:ascii="Calibri" w:hAnsi="Calibri"/>
          <w:color w:val="2C3E50"/>
          <w:sz w:val="21"/>
        </w:rPr>
        <w:t>: Insieme formato da una pluralità di fabbricati edificati in epoche diverse, che con il tempo abbiano acquisito, come insieme, un'autonoma rilevanza artistica, storica o etnoantropologica.</w:t>
      </w:r>
    </w:p>
    <w:p>
      <w:pPr>
        <w:keepNext/>
        <w:spacing w:before="200" w:after="60"/>
      </w:pPr>
      <w:r>
        <w:rPr>
          <w:rFonts w:ascii="Calibri" w:hAnsi="Calibri"/>
          <w:b/>
          <w:color w:val="2980B9"/>
          <w:sz w:val="23"/>
        </w:rPr>
        <w:t>1.4 Gestione della Valorizzazione e Servizi Aggiuntivi (Artt. 111 - 117)</w:t>
      </w:r>
    </w:p>
    <w:p>
      <w:pPr>
        <w:pStyle w:val="ListBullet"/>
        <w:spacing w:before="30" w:after="30" w:line="276" w:lineRule="auto"/>
      </w:pPr>
      <w:r>
        <w:rPr>
          <w:rFonts w:ascii="Calibri" w:hAnsi="Calibri"/>
          <w:color w:val="2C3E50"/>
          <w:sz w:val="21"/>
        </w:rPr>
      </w:r>
      <w:r>
        <w:rPr>
          <w:rFonts w:ascii="Calibri" w:hAnsi="Calibri"/>
          <w:b/>
          <w:color w:val="2C3E50"/>
          <w:sz w:val="21"/>
        </w:rPr>
        <w:t>Forme di gestione (Art. 115)</w:t>
      </w:r>
      <w:r>
        <w:rPr>
          <w:rFonts w:ascii="Calibri" w:hAnsi="Calibri"/>
          <w:color w:val="2C3E50"/>
          <w:sz w:val="21"/>
        </w:rPr>
        <w:t>:</w:t>
      </w:r>
    </w:p>
    <w:p>
      <w:pPr>
        <w:pStyle w:val="ListNumber"/>
        <w:spacing w:before="30" w:after="30" w:line="276" w:lineRule="auto"/>
      </w:pPr>
      <w:r>
        <w:rPr>
          <w:rFonts w:ascii="Calibri" w:hAnsi="Calibri"/>
          <w:color w:val="2C3E50"/>
          <w:sz w:val="21"/>
        </w:rPr>
        <w:t>*Diretta*: Mediante strutture organizzative interne dotate di adeguata autonomia scientifica e gestionale.</w:t>
      </w:r>
    </w:p>
    <w:p>
      <w:pPr>
        <w:pStyle w:val="ListNumber"/>
        <w:spacing w:before="30" w:after="30" w:line="276" w:lineRule="auto"/>
      </w:pPr>
      <w:r>
        <w:rPr>
          <w:rFonts w:ascii="Calibri" w:hAnsi="Calibri"/>
          <w:color w:val="2C3E50"/>
          <w:sz w:val="21"/>
        </w:rPr>
        <w:t>*Indiretta*: Mediante concessione a terzi (fondazioni, cooperative, imprese) selezionati tramite procedure di evidenza pubblica.</w:t>
      </w:r>
    </w:p>
    <w:p>
      <w:pPr>
        <w:pStyle w:val="ListBullet"/>
        <w:spacing w:before="30" w:after="30" w:line="276" w:lineRule="auto"/>
      </w:pPr>
      <w:r>
        <w:rPr>
          <w:rFonts w:ascii="Calibri" w:hAnsi="Calibri"/>
          <w:color w:val="2C3E50"/>
          <w:sz w:val="21"/>
        </w:rPr>
      </w:r>
      <w:r>
        <w:rPr>
          <w:rFonts w:ascii="Calibri" w:hAnsi="Calibri"/>
          <w:b/>
          <w:color w:val="2C3E50"/>
          <w:sz w:val="21"/>
        </w:rPr>
        <w:t>Servizi per il pubblico / Servizi accessori (Art. 117)</w:t>
      </w:r>
      <w:r>
        <w:rPr>
          <w:rFonts w:ascii="Calibri" w:hAnsi="Calibri"/>
          <w:color w:val="2C3E50"/>
          <w:sz w:val="21"/>
        </w:rPr>
        <w:t>:</w:t>
      </w:r>
    </w:p>
    <w:p>
      <w:pPr>
        <w:pStyle w:val="ListBullet"/>
        <w:spacing w:before="30" w:after="30" w:line="276" w:lineRule="auto"/>
      </w:pPr>
      <w:r>
        <w:rPr>
          <w:rFonts w:ascii="Calibri" w:hAnsi="Calibri"/>
          <w:color w:val="2C3E50"/>
          <w:sz w:val="21"/>
        </w:rPr>
        <w:t>Servizi di biglietteria e informazione, bookshop e vendita di guide/cataloghi, audioguide e sussidi didattici, caffetteria e ristorazione, visite guidate e accoglienza, laboratori didattici. Possono essere gestiti in forma diretta o esternalizzati in concessione.</w:t>
      </w:r>
    </w:p>
    <w:p>
      <w:pPr>
        <w:pStyle w:val="ListBullet"/>
        <w:spacing w:before="30" w:after="30" w:line="276" w:lineRule="auto"/>
      </w:pPr>
      <w:r>
        <w:rPr>
          <w:rFonts w:ascii="Calibri" w:hAnsi="Calibri"/>
          <w:color w:val="2C3E50"/>
          <w:sz w:val="21"/>
        </w:rPr>
      </w:r>
      <w:r>
        <w:rPr>
          <w:rFonts w:ascii="Calibri" w:hAnsi="Calibri"/>
          <w:b/>
          <w:color w:val="2C3E50"/>
          <w:sz w:val="21"/>
        </w:rPr>
        <w:t>Mecenatismo e Sponsorizzazioni</w:t>
      </w:r>
      <w:r>
        <w:rPr>
          <w:rFonts w:ascii="Calibri" w:hAnsi="Calibri"/>
          <w:color w:val="2C3E50"/>
          <w:sz w:val="21"/>
        </w:rPr>
        <w:t>:</w:t>
      </w:r>
    </w:p>
    <w:p>
      <w:pPr>
        <w:pStyle w:val="ListBullet"/>
        <w:spacing w:before="30" w:after="30" w:line="276" w:lineRule="auto"/>
      </w:pPr>
      <w:r>
        <w:rPr>
          <w:rFonts w:ascii="Calibri" w:hAnsi="Calibri"/>
          <w:color w:val="2C3E50"/>
          <w:sz w:val="21"/>
        </w:rPr>
        <w:t>*Sponsorizzazione (Art. 120)*: Contributo privato a iniziative di tutela o valorizzazione in cambio della promozione del proprio marchio/nome.</w:t>
      </w:r>
    </w:p>
    <w:p>
      <w:pPr>
        <w:pStyle w:val="ListBullet"/>
        <w:spacing w:before="30" w:after="30" w:line="276" w:lineRule="auto"/>
      </w:pPr>
      <w:r>
        <w:rPr>
          <w:rFonts w:ascii="Calibri" w:hAnsi="Calibri"/>
          <w:color w:val="2C3E50"/>
          <w:sz w:val="21"/>
        </w:rPr>
        <w:t xml:space="preserve">*Art Bonus (D.L. 83/2014)*: Credito d'imposta al </w:t>
      </w:r>
      <w:r>
        <w:rPr>
          <w:rFonts w:ascii="Calibri" w:hAnsi="Calibri"/>
          <w:b/>
          <w:color w:val="2C3E50"/>
          <w:sz w:val="21"/>
        </w:rPr>
        <w:t>65%</w:t>
      </w:r>
      <w:r>
        <w:rPr>
          <w:rFonts w:ascii="Calibri" w:hAnsi="Calibri"/>
          <w:color w:val="2C3E50"/>
          <w:sz w:val="21"/>
        </w:rPr>
        <w:t xml:space="preserve"> per le erogazioni liberali in denaro a favore del patrimonio pubblico.</w:t>
      </w:r>
    </w:p>
    <w:p>
      <w:pPr>
        <w:pStyle w:val="ListBullet"/>
        <w:spacing w:before="30" w:after="30" w:line="276" w:lineRule="auto"/>
      </w:pPr>
      <w:r>
        <w:rPr>
          <w:rFonts w:ascii="Calibri" w:hAnsi="Calibri"/>
          <w:color w:val="2C3E50"/>
          <w:sz w:val="21"/>
        </w:rPr>
      </w:r>
      <w:r>
        <w:rPr>
          <w:rFonts w:ascii="Calibri" w:hAnsi="Calibri"/>
          <w:b/>
          <w:color w:val="2C3E50"/>
          <w:sz w:val="21"/>
        </w:rPr>
        <w:t>Sistema Museale Nazionale (SMN)</w:t>
      </w:r>
      <w:r>
        <w:rPr>
          <w:rFonts w:ascii="Calibri" w:hAnsi="Calibri"/>
          <w:color w:val="2C3E50"/>
          <w:sz w:val="21"/>
        </w:rPr>
        <w:t>: Istituito per connettere musei statali, civici ed ecclesiastici. Riconosce l'autonomia speciale a 60 musei statali di livello dirigenziale generale e non generale (direttori autonomi, comitati scientifici, bilancio proprio).</w:t>
      </w:r>
    </w:p>
    <w:p>
      <w:pPr>
        <w:keepNext/>
        <w:spacing w:before="280" w:after="80"/>
      </w:pPr>
      <w:r>
        <w:rPr>
          <w:rFonts w:ascii="Calibri" w:hAnsi="Calibri"/>
          <w:b/>
          <w:color w:val="1A56A0"/>
          <w:sz w:val="28"/>
        </w:rPr>
        <w:t>2. DIRITTO DEL TURISMO E DEI CONTRATTI</w:t>
      </w:r>
    </w:p>
    <w:p>
      <w:pPr>
        <w:spacing w:before="40" w:after="60" w:line="276" w:lineRule="auto"/>
      </w:pPr>
      <w:r>
        <w:rPr>
          <w:rFonts w:ascii="Calibri" w:hAnsi="Calibri"/>
          <w:color w:val="2C3E50"/>
          <w:sz w:val="21"/>
        </w:rPr>
      </w:r>
      <w:r>
        <w:rPr>
          <w:rFonts w:ascii="Calibri" w:hAnsi="Calibri"/>
          <w:b/>
          <w:color w:val="2C3E50"/>
          <w:sz w:val="21"/>
        </w:rPr>
        <w:t>Fonti primarie</w:t>
      </w:r>
      <w:r>
        <w:rPr>
          <w:rFonts w:ascii="Calibri" w:hAnsi="Calibri"/>
          <w:color w:val="2C3E50"/>
          <w:sz w:val="21"/>
        </w:rPr>
        <w:t>: D.Lgs. 23 maggio 2011, n. 79 (Codice del Turismo); D.Lgs. 21 maggio 2018, n. 62 (attuazione Direttiva UE 2015/2302 sui pacchetti turistici); Codice del Consumo (D.Lgs. 206/2005).</w:t>
      </w:r>
    </w:p>
    <w:p>
      <w:pPr>
        <w:keepNext/>
        <w:spacing w:before="200" w:after="60"/>
      </w:pPr>
      <w:r>
        <w:rPr>
          <w:rFonts w:ascii="Calibri" w:hAnsi="Calibri"/>
          <w:b/>
          <w:color w:val="2980B9"/>
          <w:sz w:val="23"/>
        </w:rPr>
        <w:t>2.1 L'Impresa Turistica (Art. 4 Codice del Turismo)</w:t>
      </w:r>
    </w:p>
    <w:p>
      <w:pPr>
        <w:pStyle w:val="ListBullet"/>
        <w:spacing w:before="30" w:after="30" w:line="276" w:lineRule="auto"/>
      </w:pPr>
      <w:r>
        <w:rPr>
          <w:rFonts w:ascii="Calibri" w:hAnsi="Calibri"/>
          <w:color w:val="2C3E50"/>
          <w:sz w:val="21"/>
        </w:rPr>
        <w:t xml:space="preserve">Sono </w:t>
      </w:r>
      <w:r>
        <w:rPr>
          <w:rFonts w:ascii="Calibri" w:hAnsi="Calibri"/>
          <w:b/>
          <w:color w:val="2C3E50"/>
          <w:sz w:val="21"/>
        </w:rPr>
        <w:t>imprese turistiche</w:t>
      </w:r>
      <w:r>
        <w:rPr>
          <w:rFonts w:ascii="Calibri" w:hAnsi="Calibri"/>
          <w:color w:val="2C3E50"/>
          <w:sz w:val="21"/>
        </w:rPr>
        <w:t xml:space="preserve"> quelle che esercitano attività economiche organizzate per la produzione, la commercializzazione, l'intermediazione e la gestione di prodotti, di servizi, tra cui gli stabilimenti balneari, di infrastrutture e di esercizi, anche a uso ricettivo, destinati alla fruizione turistica.</w:t>
      </w:r>
    </w:p>
    <w:p>
      <w:pPr>
        <w:pStyle w:val="ListBullet"/>
        <w:spacing w:before="30" w:after="30" w:line="276" w:lineRule="auto"/>
      </w:pPr>
      <w:r>
        <w:rPr>
          <w:rFonts w:ascii="Calibri" w:hAnsi="Calibri"/>
          <w:color w:val="2C3E50"/>
          <w:sz w:val="21"/>
        </w:rPr>
        <w:t>Iscrizione al Registro delle Imprese (sezione speciale delle imprese turistiche).</w:t>
      </w:r>
    </w:p>
    <w:p>
      <w:pPr>
        <w:keepNext/>
        <w:spacing w:before="200" w:after="60"/>
      </w:pPr>
      <w:r>
        <w:rPr>
          <w:rFonts w:ascii="Calibri" w:hAnsi="Calibri"/>
          <w:b/>
          <w:color w:val="2980B9"/>
          <w:sz w:val="23"/>
        </w:rPr>
        <w:t>2.2 Agenzie di Viaggio e Turismo (Artt. 18 ss.)</w:t>
      </w:r>
    </w:p>
    <w:p>
      <w:pPr>
        <w:spacing w:before="40" w:after="60" w:line="276" w:lineRule="auto"/>
      </w:pPr>
      <w:r>
        <w:rPr>
          <w:rFonts w:ascii="Calibri" w:hAnsi="Calibri"/>
          <w:color w:val="2C3E50"/>
          <w:sz w:val="21"/>
        </w:rPr>
        <w:t>Si distinguono in:</w:t>
      </w:r>
    </w:p>
    <w:p>
      <w:pPr>
        <w:pStyle w:val="ListNumber"/>
        <w:spacing w:before="30" w:after="30" w:line="276" w:lineRule="auto"/>
      </w:pPr>
      <w:r>
        <w:rPr>
          <w:rFonts w:ascii="Calibri" w:hAnsi="Calibri"/>
          <w:color w:val="2C3E50"/>
          <w:sz w:val="21"/>
        </w:rPr>
      </w:r>
      <w:r>
        <w:rPr>
          <w:rFonts w:ascii="Calibri" w:hAnsi="Calibri"/>
          <w:b/>
          <w:color w:val="2C3E50"/>
          <w:sz w:val="21"/>
        </w:rPr>
        <w:t>Organizzatori (Tour Operator)</w:t>
      </w:r>
      <w:r>
        <w:rPr>
          <w:rFonts w:ascii="Calibri" w:hAnsi="Calibri"/>
          <w:color w:val="2C3E50"/>
          <w:sz w:val="21"/>
        </w:rPr>
        <w:t>: Il professionista che combina pacchetti turistici e li vende direttamente o tramite intermediario.</w:t>
      </w:r>
    </w:p>
    <w:p>
      <w:pPr>
        <w:pStyle w:val="ListNumber"/>
        <w:spacing w:before="30" w:after="30" w:line="276" w:lineRule="auto"/>
      </w:pPr>
      <w:r>
        <w:rPr>
          <w:rFonts w:ascii="Calibri" w:hAnsi="Calibri"/>
          <w:color w:val="2C3E50"/>
          <w:sz w:val="21"/>
        </w:rPr>
      </w:r>
      <w:r>
        <w:rPr>
          <w:rFonts w:ascii="Calibri" w:hAnsi="Calibri"/>
          <w:b/>
          <w:color w:val="2C3E50"/>
          <w:sz w:val="21"/>
        </w:rPr>
        <w:t>Venditori (Agenzie di viaggio dettaglianti / Intermediari)</w:t>
      </w:r>
      <w:r>
        <w:rPr>
          <w:rFonts w:ascii="Calibri" w:hAnsi="Calibri"/>
          <w:color w:val="2C3E50"/>
          <w:sz w:val="21"/>
        </w:rPr>
        <w:t>: Il professionista che commercializza o offre pacchetti turistici combinati da un organizzatore o singoli servizi isolati.</w:t>
      </w:r>
    </w:p>
    <w:p>
      <w:pPr>
        <w:pStyle w:val="ListNumber"/>
        <w:spacing w:before="30" w:after="30" w:line="276" w:lineRule="auto"/>
      </w:pPr>
      <w:r>
        <w:rPr>
          <w:rFonts w:ascii="Calibri" w:hAnsi="Calibri"/>
          <w:color w:val="2C3E50"/>
          <w:sz w:val="21"/>
        </w:rPr>
      </w:r>
      <w:r>
        <w:rPr>
          <w:rFonts w:ascii="Calibri" w:hAnsi="Calibri"/>
          <w:b/>
          <w:color w:val="2C3E50"/>
          <w:sz w:val="21"/>
        </w:rPr>
        <w:t>OTA (Online Travel Agencies)</w:t>
      </w:r>
      <w:r>
        <w:rPr>
          <w:rFonts w:ascii="Calibri" w:hAnsi="Calibri"/>
          <w:color w:val="2C3E50"/>
          <w:sz w:val="21"/>
        </w:rPr>
        <w:t>: Piattaforme digitali di intermediazione telematica.</w:t>
      </w:r>
    </w:p>
    <w:p>
      <w:pPr>
        <w:pStyle w:val="ListBullet"/>
        <w:spacing w:before="30" w:after="30" w:line="276" w:lineRule="auto"/>
      </w:pPr>
      <w:r>
        <w:rPr>
          <w:rFonts w:ascii="Calibri" w:hAnsi="Calibri"/>
          <w:color w:val="2C3E50"/>
          <w:sz w:val="21"/>
        </w:rPr>
        <w:t xml:space="preserve">*Requisiti di apertura*: Segnalazione Certificata di Inizio Attività (SCIA) presentata alla Regione/Provincia/Comune (in base alla legge regionale), presenza continuativa di un </w:t>
      </w:r>
      <w:r>
        <w:rPr>
          <w:rFonts w:ascii="Calibri" w:hAnsi="Calibri"/>
          <w:b/>
          <w:color w:val="2C3E50"/>
          <w:sz w:val="21"/>
        </w:rPr>
        <w:t>Direttore Tecnico abilitato</w:t>
      </w:r>
      <w:r>
        <w:rPr>
          <w:rFonts w:ascii="Calibri" w:hAnsi="Calibri"/>
          <w:color w:val="2C3E50"/>
          <w:sz w:val="21"/>
        </w:rPr>
        <w:t>, stipula di idonee polizze assicurative per la Responsabilità Civile verso terzi (RC) e di garanzia per insolvenza o fallimento.</w:t>
      </w:r>
    </w:p>
    <w:p>
      <w:pPr>
        <w:keepNext/>
        <w:spacing w:before="200" w:after="60"/>
      </w:pPr>
      <w:r>
        <w:rPr>
          <w:rFonts w:ascii="Calibri" w:hAnsi="Calibri"/>
          <w:b/>
          <w:color w:val="2980B9"/>
          <w:sz w:val="23"/>
        </w:rPr>
        <w:t>2.3 I Contratti del Turismo Organizzato (D.Lgs. 62/2018 - Artt. 32-51-novies)</w:t>
      </w:r>
    </w:p>
    <w:p>
      <w:pPr>
        <w:pStyle w:val="ListBullet"/>
        <w:spacing w:before="30" w:after="30" w:line="276" w:lineRule="auto"/>
      </w:pPr>
      <w:r>
        <w:rPr>
          <w:rFonts w:ascii="Calibri" w:hAnsi="Calibri"/>
          <w:color w:val="2C3E50"/>
          <w:sz w:val="21"/>
        </w:rPr>
      </w:r>
      <w:r>
        <w:rPr>
          <w:rFonts w:ascii="Calibri" w:hAnsi="Calibri"/>
          <w:b/>
          <w:color w:val="2C3E50"/>
          <w:sz w:val="21"/>
        </w:rPr>
        <w:t>Definizione di Servizio Turistico (Art. 33, c. 1, lett. a)</w:t>
      </w:r>
      <w:r>
        <w:rPr>
          <w:rFonts w:ascii="Calibri" w:hAnsi="Calibri"/>
          <w:color w:val="2C3E50"/>
          <w:sz w:val="21"/>
        </w:rPr>
        <w:t>:</w:t>
      </w:r>
    </w:p>
    <w:p>
      <w:pPr>
        <w:pStyle w:val="ListNumber"/>
        <w:spacing w:before="30" w:after="30" w:line="276" w:lineRule="auto"/>
      </w:pPr>
      <w:r>
        <w:rPr>
          <w:rFonts w:ascii="Calibri" w:hAnsi="Calibri"/>
          <w:color w:val="2C3E50"/>
          <w:sz w:val="21"/>
        </w:rPr>
        <w:t>Trasporto di passeggeri;</w:t>
      </w:r>
    </w:p>
    <w:p>
      <w:pPr>
        <w:pStyle w:val="ListNumber"/>
        <w:spacing w:before="30" w:after="30" w:line="276" w:lineRule="auto"/>
      </w:pPr>
      <w:r>
        <w:rPr>
          <w:rFonts w:ascii="Calibri" w:hAnsi="Calibri"/>
          <w:color w:val="2C3E50"/>
          <w:sz w:val="21"/>
        </w:rPr>
        <w:t>Alloggio non intrinsecamente parte del trasporto o residenziale;</w:t>
      </w:r>
    </w:p>
    <w:p>
      <w:pPr>
        <w:pStyle w:val="ListNumber"/>
        <w:spacing w:before="30" w:after="30" w:line="276" w:lineRule="auto"/>
      </w:pPr>
      <w:r>
        <w:rPr>
          <w:rFonts w:ascii="Calibri" w:hAnsi="Calibri"/>
          <w:color w:val="2C3E50"/>
          <w:sz w:val="21"/>
        </w:rPr>
        <w:t>Noleggio di autovetture, altri veicoli o motocicli;</w:t>
      </w:r>
    </w:p>
    <w:p>
      <w:pPr>
        <w:pStyle w:val="ListNumber"/>
        <w:spacing w:before="30" w:after="30" w:line="276" w:lineRule="auto"/>
      </w:pPr>
      <w:r>
        <w:rPr>
          <w:rFonts w:ascii="Calibri" w:hAnsi="Calibri"/>
          <w:color w:val="2C3E50"/>
          <w:sz w:val="21"/>
        </w:rPr>
        <w:t>Qualunque altro servizio turistico non costituente parte integrante di uno dei precedenti (es. visite guidate, ingressi a musei, skipass).</w:t>
      </w:r>
    </w:p>
    <w:p>
      <w:pPr>
        <w:pStyle w:val="ListBullet"/>
        <w:spacing w:before="30" w:after="30" w:line="276" w:lineRule="auto"/>
      </w:pPr>
      <w:r>
        <w:rPr>
          <w:rFonts w:ascii="Calibri" w:hAnsi="Calibri"/>
          <w:color w:val="2C3E50"/>
          <w:sz w:val="21"/>
        </w:rPr>
      </w:r>
      <w:r>
        <w:rPr>
          <w:rFonts w:ascii="Calibri" w:hAnsi="Calibri"/>
          <w:b/>
          <w:color w:val="2C3E50"/>
          <w:sz w:val="21"/>
        </w:rPr>
        <w:t>Definizione di Pacchetto Turistico (Art. 33, c. 1, lett. c)</w:t>
      </w:r>
      <w:r>
        <w:rPr>
          <w:rFonts w:ascii="Calibri" w:hAnsi="Calibri"/>
          <w:color w:val="2C3E50"/>
          <w:sz w:val="21"/>
        </w:rPr>
        <w:t>:</w:t>
      </w:r>
    </w:p>
    <w:p>
      <w:pPr>
        <w:pStyle w:val="ListBullet"/>
        <w:spacing w:before="30" w:after="30" w:line="276" w:lineRule="auto"/>
      </w:pPr>
      <w:r>
        <w:rPr>
          <w:rFonts w:ascii="Calibri" w:hAnsi="Calibri"/>
          <w:color w:val="2C3E50"/>
          <w:sz w:val="21"/>
        </w:rPr>
        <w:t xml:space="preserve">La combinazione di </w:t>
      </w:r>
      <w:r>
        <w:rPr>
          <w:rFonts w:ascii="Calibri" w:hAnsi="Calibri"/>
          <w:b/>
          <w:color w:val="2C3E50"/>
          <w:sz w:val="21"/>
        </w:rPr>
        <w:t>almeno due tipi diversi di servizi turistici</w:t>
      </w:r>
      <w:r>
        <w:rPr>
          <w:rFonts w:ascii="Calibri" w:hAnsi="Calibri"/>
          <w:color w:val="2C3E50"/>
          <w:sz w:val="21"/>
        </w:rPr>
        <w:t xml:space="preserve"> ai fini dello stesso viaggio o della stessa vacanza, se:</w:t>
      </w:r>
    </w:p>
    <w:p>
      <w:pPr>
        <w:spacing w:before="40" w:after="60" w:line="276" w:lineRule="auto"/>
      </w:pPr>
      <w:r>
        <w:rPr>
          <w:rFonts w:ascii="Calibri" w:hAnsi="Calibri"/>
          <w:color w:val="2C3E50"/>
          <w:sz w:val="21"/>
        </w:rPr>
        <w:t>a) Tali servizi sono combinati da un unico professionista prima che sia concluso il contratto unico;</w:t>
      </w:r>
    </w:p>
    <w:p>
      <w:pPr>
        <w:spacing w:before="40" w:after="60" w:line="276" w:lineRule="auto"/>
      </w:pPr>
      <w:r>
        <w:rPr>
          <w:rFonts w:ascii="Calibri" w:hAnsi="Calibri"/>
          <w:color w:val="2C3E50"/>
          <w:sz w:val="21"/>
        </w:rPr>
        <w:t>b) Oppure acquistati presso un unico punto vendita entro 24 ore dalla selezione del primo servizio a prezzo forfettario o sotto la medesima prenotazione.</w:t>
      </w:r>
    </w:p>
    <w:p>
      <w:pPr>
        <w:pStyle w:val="ListBullet"/>
        <w:spacing w:before="30" w:after="30" w:line="276" w:lineRule="auto"/>
      </w:pPr>
      <w:r>
        <w:rPr>
          <w:rFonts w:ascii="Calibri" w:hAnsi="Calibri"/>
          <w:color w:val="2C3E50"/>
          <w:sz w:val="21"/>
        </w:rPr>
      </w:r>
      <w:r>
        <w:rPr>
          <w:rFonts w:ascii="Calibri" w:hAnsi="Calibri"/>
          <w:b/>
          <w:color w:val="2C3E50"/>
          <w:sz w:val="21"/>
        </w:rPr>
        <w:t>Servizi Turistici Collegati (STC - Art. 33, c. 1, lett. f &amp; Art. 50)</w:t>
      </w:r>
      <w:r>
        <w:rPr>
          <w:rFonts w:ascii="Calibri" w:hAnsi="Calibri"/>
          <w:color w:val="2C3E50"/>
          <w:sz w:val="21"/>
        </w:rPr>
        <w:t>:</w:t>
      </w:r>
    </w:p>
    <w:p>
      <w:pPr>
        <w:pStyle w:val="ListBullet"/>
        <w:spacing w:before="30" w:after="30" w:line="276" w:lineRule="auto"/>
      </w:pPr>
      <w:r>
        <w:rPr>
          <w:rFonts w:ascii="Calibri" w:hAnsi="Calibri"/>
          <w:color w:val="2C3E50"/>
          <w:sz w:val="21"/>
        </w:rPr>
        <w:t>Almeno due tipi diversi di servizi acquistati per lo stesso viaggio che non costituiscono un pacchetto, ma comportano la conclusione di contratti distinti con singoli fornitori, qualora un professionista agevoli la prenotazione (es. acquisto volo e reindirizzamento al sito hotel entro 24 ore con trasmissione dei dati del viaggiatore). Tutela più limitata rispetto al pacchetto (garanzia solo per insolvenza del professionista agevolatore).</w:t>
      </w:r>
    </w:p>
    <w:p>
      <w:pPr>
        <w:pStyle w:val="ListBullet"/>
        <w:spacing w:before="30" w:after="30" w:line="276" w:lineRule="auto"/>
      </w:pPr>
      <w:r>
        <w:rPr>
          <w:rFonts w:ascii="Calibri" w:hAnsi="Calibri"/>
          <w:color w:val="2C3E50"/>
          <w:sz w:val="21"/>
        </w:rPr>
      </w:r>
      <w:r>
        <w:rPr>
          <w:rFonts w:ascii="Calibri" w:hAnsi="Calibri"/>
          <w:b/>
          <w:color w:val="2C3E50"/>
          <w:sz w:val="21"/>
        </w:rPr>
        <w:t>Diritti del Viaggiatore e Obblighi del Professionista</w:t>
      </w:r>
      <w:r>
        <w:rPr>
          <w:rFonts w:ascii="Calibri" w:hAnsi="Calibri"/>
          <w:color w:val="2C3E50"/>
          <w:sz w:val="21"/>
        </w:rPr>
        <w:t>:</w:t>
      </w:r>
    </w:p>
    <w:p>
      <w:pPr>
        <w:pStyle w:val="ListBullet"/>
        <w:spacing w:before="30" w:after="30" w:line="276" w:lineRule="auto"/>
      </w:pPr>
      <w:r>
        <w:rPr>
          <w:rFonts w:ascii="Calibri" w:hAnsi="Calibri"/>
          <w:color w:val="2C3E50"/>
          <w:sz w:val="21"/>
        </w:rPr>
        <w:t>*Modulo informativo standard obbligatorio (Art. 34)*: Fornito prima della conclusione del contratto (dettagli di viaggio, orari, lingua, accessibilità per persone con mobilità ridotta, penali).</w:t>
      </w:r>
    </w:p>
    <w:p>
      <w:pPr>
        <w:pStyle w:val="ListBullet"/>
        <w:spacing w:before="30" w:after="30" w:line="276" w:lineRule="auto"/>
      </w:pPr>
      <w:r>
        <w:rPr>
          <w:rFonts w:ascii="Calibri" w:hAnsi="Calibri"/>
          <w:color w:val="2C3E50"/>
          <w:sz w:val="21"/>
        </w:rPr>
        <w:t>*Diritto di recesso del viaggiatore (Art. 41)*:</w:t>
      </w:r>
    </w:p>
    <w:p>
      <w:pPr>
        <w:pStyle w:val="ListBullet"/>
        <w:spacing w:before="30" w:after="30" w:line="276" w:lineRule="auto"/>
      </w:pPr>
      <w:r>
        <w:rPr>
          <w:rFonts w:ascii="Calibri" w:hAnsi="Calibri"/>
          <w:color w:val="2C3E50"/>
          <w:sz w:val="21"/>
        </w:rPr>
        <w:t>Recesso prima della partenza con pagamento di spese standard ragionevoli;</w:t>
      </w:r>
    </w:p>
    <w:p>
      <w:pPr>
        <w:pStyle w:val="ListBullet"/>
        <w:spacing w:before="30" w:after="30" w:line="276" w:lineRule="auto"/>
      </w:pPr>
      <w:r>
        <w:rPr>
          <w:rFonts w:ascii="Calibri" w:hAnsi="Calibri"/>
          <w:color w:val="2C3E50"/>
          <w:sz w:val="21"/>
        </w:rPr>
        <w:t xml:space="preserve">Recesso </w:t>
      </w:r>
      <w:r>
        <w:rPr>
          <w:rFonts w:ascii="Calibri" w:hAnsi="Calibri"/>
          <w:b/>
          <w:color w:val="2C3E50"/>
          <w:sz w:val="21"/>
        </w:rPr>
        <w:t>senza penalità</w:t>
      </w:r>
      <w:r>
        <w:rPr>
          <w:rFonts w:ascii="Calibri" w:hAnsi="Calibri"/>
          <w:color w:val="2C3E50"/>
          <w:sz w:val="21"/>
        </w:rPr>
        <w:t xml:space="preserve"> e rimborso totale in caso di "circostanze inevitabili e straordinarie" verificatesi nel luogo di destinazione o nelle immediate vicinanze (guerre, calamità, epidemie) che incidono in modo sostanziale sull'esecuzione del pacchetto.</w:t>
      </w:r>
    </w:p>
    <w:p>
      <w:pPr>
        <w:pStyle w:val="ListBullet"/>
        <w:spacing w:before="30" w:after="30" w:line="276" w:lineRule="auto"/>
      </w:pPr>
      <w:r>
        <w:rPr>
          <w:rFonts w:ascii="Calibri" w:hAnsi="Calibri"/>
          <w:color w:val="2C3E50"/>
          <w:sz w:val="21"/>
        </w:rPr>
        <w:t>*Responsabilità solidale (Art. 42)*: L'organizzatore è responsabile dell'esecuzione di tutti i servizi del pacchetto; il venditore risponde dell'intermediazione e, in diversi casi, in solido con l'organizzatore verso il consumatore.</w:t>
      </w:r>
    </w:p>
    <w:p>
      <w:pPr>
        <w:pStyle w:val="ListBullet"/>
        <w:spacing w:before="30" w:after="30" w:line="276" w:lineRule="auto"/>
      </w:pPr>
      <w:r>
        <w:rPr>
          <w:rFonts w:ascii="Calibri" w:hAnsi="Calibri"/>
          <w:color w:val="2C3E50"/>
          <w:sz w:val="21"/>
        </w:rPr>
        <w:t>*Obbligo di prestare assistenza (Art. 45)*: L'organizzatore è tenuto a prestare prontamente adeguata assistenza al viaggiatore in difficoltà (informazioni sanitarie, comunicazioni, servizi alternativi).</w:t>
      </w:r>
    </w:p>
    <w:p>
      <w:pPr>
        <w:pStyle w:val="ListBullet"/>
        <w:spacing w:before="30" w:after="30" w:line="276" w:lineRule="auto"/>
      </w:pPr>
      <w:r>
        <w:rPr>
          <w:rFonts w:ascii="Calibri" w:hAnsi="Calibri"/>
          <w:color w:val="2C3E50"/>
          <w:sz w:val="21"/>
        </w:rPr>
      </w:r>
      <w:r>
        <w:rPr>
          <w:rFonts w:ascii="Calibri" w:hAnsi="Calibri"/>
          <w:b/>
          <w:color w:val="2C3E50"/>
          <w:sz w:val="21"/>
        </w:rPr>
        <w:t>Danno da Vacanza Rovinata (Art. 46 - 47)</w:t>
      </w:r>
      <w:r>
        <w:rPr>
          <w:rFonts w:ascii="Calibri" w:hAnsi="Calibri"/>
          <w:color w:val="2C3E50"/>
          <w:sz w:val="21"/>
        </w:rPr>
        <w:t>:</w:t>
      </w:r>
    </w:p>
    <w:p>
      <w:pPr>
        <w:pStyle w:val="ListBullet"/>
        <w:spacing w:before="30" w:after="30" w:line="276" w:lineRule="auto"/>
      </w:pPr>
      <w:r>
        <w:rPr>
          <w:rFonts w:ascii="Calibri" w:hAnsi="Calibri"/>
          <w:color w:val="2C3E50"/>
          <w:sz w:val="21"/>
        </w:rPr>
        <w:t xml:space="preserve">Risarcimento del </w:t>
      </w:r>
      <w:r>
        <w:rPr>
          <w:rFonts w:ascii="Calibri" w:hAnsi="Calibri"/>
          <w:b/>
          <w:color w:val="2C3E50"/>
          <w:sz w:val="21"/>
        </w:rPr>
        <w:t>danno morale/non patrimoniale</w:t>
      </w:r>
      <w:r>
        <w:rPr>
          <w:rFonts w:ascii="Calibri" w:hAnsi="Calibri"/>
          <w:color w:val="2C3E50"/>
          <w:sz w:val="21"/>
        </w:rPr>
        <w:t xml:space="preserve"> correlato al tempo di vacanza inutilmente trascorso e all'irripetibilità dell'occasione di svago perduta a seguito di grave inadempimento o inesatta esecuzione del contratto.</w:t>
      </w:r>
    </w:p>
    <w:p>
      <w:pPr>
        <w:pStyle w:val="ListBullet"/>
        <w:spacing w:before="30" w:after="30" w:line="276" w:lineRule="auto"/>
      </w:pPr>
      <w:r>
        <w:rPr>
          <w:rFonts w:ascii="Calibri" w:hAnsi="Calibri"/>
          <w:color w:val="2C3E50"/>
          <w:sz w:val="21"/>
        </w:rPr>
        <w:t>*Termini di prescrizione*: 3 anni dalla data del rientro del viaggiatore per i danni diversi da quelli alla persona; 12 o 24 mesi per danni derivanti dall'inadempimento delle prestazioni di trasporto.</w:t>
      </w:r>
    </w:p>
    <w:p>
      <w:pPr>
        <w:pStyle w:val="ListBullet"/>
        <w:spacing w:before="30" w:after="30" w:line="276" w:lineRule="auto"/>
      </w:pPr>
      <w:r>
        <w:rPr>
          <w:rFonts w:ascii="Calibri" w:hAnsi="Calibri"/>
          <w:color w:val="2C3E50"/>
          <w:sz w:val="21"/>
        </w:rPr>
      </w:r>
      <w:r>
        <w:rPr>
          <w:rFonts w:ascii="Calibri" w:hAnsi="Calibri"/>
          <w:b/>
          <w:color w:val="2C3E50"/>
          <w:sz w:val="21"/>
        </w:rPr>
        <w:t>Fondo di Garanzia contro l'Insolvenza o Fallimento (Art. 47)</w:t>
      </w:r>
      <w:r>
        <w:rPr>
          <w:rFonts w:ascii="Calibri" w:hAnsi="Calibri"/>
          <w:color w:val="2C3E50"/>
          <w:sz w:val="21"/>
        </w:rPr>
        <w:t>:</w:t>
      </w:r>
    </w:p>
    <w:p>
      <w:pPr>
        <w:pStyle w:val="ListBullet"/>
        <w:spacing w:before="30" w:after="30" w:line="276" w:lineRule="auto"/>
      </w:pPr>
      <w:r>
        <w:rPr>
          <w:rFonts w:ascii="Calibri" w:hAnsi="Calibri"/>
          <w:color w:val="2C3E50"/>
          <w:sz w:val="21"/>
        </w:rPr>
        <w:t>Organizzatori e venditori devono possedere una copertura assicurativa o bancaria che garantisca, nei casi di insolvenza o fallimento, il rimborso tempestivo del prezzo versato e il rimpatrio immediato del turista all'estero.</w:t>
      </w:r>
    </w:p>
    <w:p>
      <w:pPr>
        <w:keepNext/>
        <w:spacing w:before="280" w:after="80"/>
      </w:pPr>
      <w:r>
        <w:rPr>
          <w:rFonts w:ascii="Calibri" w:hAnsi="Calibri"/>
          <w:b/>
          <w:color w:val="1A56A0"/>
          <w:sz w:val="28"/>
        </w:rPr>
        <w:t>3. DISCIPLINA DELLA PROFESSIONE DI GUIDA TURISTICA</w:t>
      </w:r>
    </w:p>
    <w:p>
      <w:pPr>
        <w:spacing w:before="40" w:after="60" w:line="276" w:lineRule="auto"/>
      </w:pPr>
      <w:r>
        <w:rPr>
          <w:rFonts w:ascii="Calibri" w:hAnsi="Calibri"/>
          <w:color w:val="2C3E50"/>
          <w:sz w:val="21"/>
        </w:rPr>
      </w:r>
      <w:r>
        <w:rPr>
          <w:rFonts w:ascii="Calibri" w:hAnsi="Calibri"/>
          <w:b/>
          <w:color w:val="2C3E50"/>
          <w:sz w:val="21"/>
        </w:rPr>
        <w:t>Fonti primarie</w:t>
      </w:r>
      <w:r>
        <w:rPr>
          <w:rFonts w:ascii="Calibri" w:hAnsi="Calibri"/>
          <w:color w:val="2C3E50"/>
          <w:sz w:val="21"/>
        </w:rPr>
        <w:t>: Legge 13 dicembre 2023, n. 190 (Riforma nazionale della professione); D.M. 26 giugno 2024, n. 88 (Regolamento attuativo del Ministero del Turismo).</w:t>
      </w:r>
    </w:p>
    <w:p>
      <w:pPr>
        <w:keepNext/>
        <w:spacing w:before="200" w:after="60"/>
      </w:pPr>
      <w:r>
        <w:rPr>
          <w:rFonts w:ascii="Calibri" w:hAnsi="Calibri"/>
          <w:b/>
          <w:color w:val="2980B9"/>
          <w:sz w:val="23"/>
        </w:rPr>
        <w:t>3.1 Definizione ed Oggetto della Professione (Art. 2 L. 190/2023)</w:t>
      </w:r>
    </w:p>
    <w:p>
      <w:pPr>
        <w:pStyle w:val="ListBullet"/>
        <w:spacing w:before="30" w:after="30" w:line="276" w:lineRule="auto"/>
      </w:pPr>
      <w:r>
        <w:rPr>
          <w:rFonts w:ascii="Calibri" w:hAnsi="Calibri"/>
          <w:color w:val="2C3E50"/>
          <w:sz w:val="21"/>
        </w:rPr>
      </w:r>
      <w:r>
        <w:rPr>
          <w:rFonts w:ascii="Calibri" w:hAnsi="Calibri"/>
          <w:b/>
          <w:color w:val="2C3E50"/>
          <w:sz w:val="21"/>
        </w:rPr>
        <w:t>Definizione di Guida Turistica</w:t>
      </w:r>
      <w:r>
        <w:rPr>
          <w:rFonts w:ascii="Calibri" w:hAnsi="Calibri"/>
          <w:color w:val="2C3E50"/>
          <w:sz w:val="21"/>
        </w:rPr>
        <w:t>: Il professionista abilitato all'esercizio dell'attività su tutto il territorio nazionale che illustra e interpreta, nel corso di visite guidate con persone singole o gruppi di persone:</w:t>
      </w:r>
    </w:p>
    <w:p>
      <w:pPr>
        <w:pStyle w:val="ListBullet"/>
        <w:spacing w:before="30" w:after="30" w:line="276" w:lineRule="auto"/>
      </w:pPr>
      <w:r>
        <w:rPr>
          <w:rFonts w:ascii="Calibri" w:hAnsi="Calibri"/>
          <w:color w:val="2C3E50"/>
          <w:sz w:val="21"/>
        </w:rPr>
        <w:t>Il valore e il significato, quali testimonianze di civiltà di un territorio e della sua comunità;</w:t>
      </w:r>
    </w:p>
    <w:p>
      <w:pPr>
        <w:pStyle w:val="ListBullet"/>
        <w:spacing w:before="30" w:after="30" w:line="276" w:lineRule="auto"/>
      </w:pPr>
      <w:r>
        <w:rPr>
          <w:rFonts w:ascii="Calibri" w:hAnsi="Calibri"/>
          <w:color w:val="2C3E50"/>
          <w:sz w:val="21"/>
        </w:rPr>
        <w:t>I beni, materiali e immateriali, che costituiscono il patrimonio storico, culturale, museale, religioso, architettonico, artistico, archeologico e monumentale italiano;</w:t>
      </w:r>
    </w:p>
    <w:p>
      <w:pPr>
        <w:pStyle w:val="ListBullet"/>
        <w:spacing w:before="30" w:after="30" w:line="276" w:lineRule="auto"/>
      </w:pPr>
      <w:r>
        <w:rPr>
          <w:rFonts w:ascii="Calibri" w:hAnsi="Calibri"/>
          <w:color w:val="2C3E50"/>
          <w:sz w:val="21"/>
        </w:rPr>
        <w:t>In correlazione ai contesti demo-etno-antropologici, paesaggistici, produttivi ed enogastronomici che caratterizzano le specificità territoriali.</w:t>
      </w:r>
    </w:p>
    <w:p>
      <w:pPr>
        <w:pStyle w:val="ListBullet"/>
        <w:spacing w:before="30" w:after="30" w:line="276" w:lineRule="auto"/>
      </w:pPr>
      <w:r>
        <w:rPr>
          <w:rFonts w:ascii="Calibri" w:hAnsi="Calibri"/>
          <w:color w:val="2C3E50"/>
          <w:sz w:val="21"/>
        </w:rPr>
      </w:r>
      <w:r>
        <w:rPr>
          <w:rFonts w:ascii="Calibri" w:hAnsi="Calibri"/>
          <w:b/>
          <w:color w:val="2C3E50"/>
          <w:sz w:val="21"/>
        </w:rPr>
        <w:t>Finalità della visita guidata</w:t>
      </w:r>
      <w:r>
        <w:rPr>
          <w:rFonts w:ascii="Calibri" w:hAnsi="Calibri"/>
          <w:color w:val="2C3E50"/>
          <w:sz w:val="21"/>
        </w:rPr>
        <w:t>:</w:t>
      </w:r>
    </w:p>
    <w:p>
      <w:pPr>
        <w:spacing w:before="40" w:after="60" w:line="276" w:lineRule="auto"/>
      </w:pPr>
      <w:r>
        <w:rPr>
          <w:rFonts w:ascii="Calibri" w:hAnsi="Calibri"/>
          <w:color w:val="2C3E50"/>
          <w:sz w:val="21"/>
        </w:rPr>
        <w:t>a) Evidenziare caratteristiche, aspetti e valori del patrimonio tramite percorsi esperienziali e multisensoriali;</w:t>
      </w:r>
    </w:p>
    <w:p>
      <w:pPr>
        <w:spacing w:before="40" w:after="60" w:line="276" w:lineRule="auto"/>
      </w:pPr>
      <w:r>
        <w:rPr>
          <w:rFonts w:ascii="Calibri" w:hAnsi="Calibri"/>
          <w:color w:val="2C3E50"/>
          <w:sz w:val="21"/>
        </w:rPr>
        <w:t>b) Valorizzare, tutelare e trasmettere una conoscenza corretta e aggiornata del patrimonio, preservando la memoria e l'identità nazionale e locale;</w:t>
      </w:r>
    </w:p>
    <w:p>
      <w:pPr>
        <w:spacing w:before="40" w:after="60" w:line="276" w:lineRule="auto"/>
      </w:pPr>
      <w:r>
        <w:rPr>
          <w:rFonts w:ascii="Calibri" w:hAnsi="Calibri"/>
          <w:color w:val="2C3E50"/>
          <w:sz w:val="21"/>
        </w:rPr>
        <w:t>c) Garantire la qualità e la correttezza dell'informazione turistica a tutela dell'utente;</w:t>
      </w:r>
    </w:p>
    <w:p>
      <w:pPr>
        <w:spacing w:before="40" w:after="60" w:line="276" w:lineRule="auto"/>
      </w:pPr>
      <w:r>
        <w:rPr>
          <w:rFonts w:ascii="Calibri" w:hAnsi="Calibri"/>
          <w:color w:val="2C3E50"/>
          <w:sz w:val="21"/>
        </w:rPr>
        <w:t>d) Promuovere l'inclusione sociale e l'accessibilità fisica, sensoriale e cognitiva dei beni culturali.</w:t>
      </w:r>
    </w:p>
    <w:p>
      <w:pPr>
        <w:keepNext/>
        <w:spacing w:before="200" w:after="60"/>
      </w:pPr>
      <w:r>
        <w:rPr>
          <w:rFonts w:ascii="Calibri" w:hAnsi="Calibri"/>
          <w:b/>
          <w:color w:val="2980B9"/>
          <w:sz w:val="23"/>
        </w:rPr>
        <w:t>3.2 Requisiti per l'Accesso all'Esame di Abilitazione (Art. 4 L. 190/2023 e Art. 1 D.M. 88/2024)</w:t>
      </w:r>
    </w:p>
    <w:p>
      <w:pPr>
        <w:spacing w:before="40" w:after="60" w:line="276" w:lineRule="auto"/>
      </w:pPr>
      <w:r>
        <w:rPr>
          <w:rFonts w:ascii="Calibri" w:hAnsi="Calibri"/>
          <w:color w:val="2C3E50"/>
          <w:sz w:val="21"/>
        </w:rPr>
        <w:t xml:space="preserve">Per partecipare all'esame nazionale indetto con cadenza </w:t>
      </w:r>
      <w:r>
        <w:rPr>
          <w:rFonts w:ascii="Calibri" w:hAnsi="Calibri"/>
          <w:b/>
          <w:color w:val="2C3E50"/>
          <w:sz w:val="21"/>
        </w:rPr>
        <w:t>almeno annuale</w:t>
      </w:r>
      <w:r>
        <w:rPr>
          <w:rFonts w:ascii="Calibri" w:hAnsi="Calibri"/>
          <w:color w:val="2C3E50"/>
          <w:sz w:val="21"/>
        </w:rPr>
        <w:t xml:space="preserve"> dal Ministero del Turismo occorrono:</w:t>
      </w:r>
    </w:p>
    <w:p>
      <w:pPr>
        <w:pStyle w:val="ListNumber"/>
        <w:spacing w:before="30" w:after="30" w:line="276" w:lineRule="auto"/>
      </w:pPr>
      <w:r>
        <w:rPr>
          <w:rFonts w:ascii="Calibri" w:hAnsi="Calibri"/>
          <w:color w:val="2C3E50"/>
          <w:sz w:val="21"/>
        </w:rPr>
        <w:t>Maggiore età;</w:t>
      </w:r>
    </w:p>
    <w:p>
      <w:pPr>
        <w:pStyle w:val="ListNumber"/>
        <w:spacing w:before="30" w:after="30" w:line="276" w:lineRule="auto"/>
      </w:pPr>
      <w:r>
        <w:rPr>
          <w:rFonts w:ascii="Calibri" w:hAnsi="Calibri"/>
          <w:color w:val="2C3E50"/>
          <w:sz w:val="21"/>
        </w:rPr>
        <w:t>Cittadinanza italiana, o di uno Stato UE, o cittadinanza di Stati terzi con regolare permesso di soggiorno;</w:t>
      </w:r>
    </w:p>
    <w:p>
      <w:pPr>
        <w:pStyle w:val="ListNumber"/>
        <w:spacing w:before="30" w:after="30" w:line="276" w:lineRule="auto"/>
      </w:pPr>
      <w:r>
        <w:rPr>
          <w:rFonts w:ascii="Calibri" w:hAnsi="Calibri"/>
          <w:color w:val="2C3E50"/>
          <w:sz w:val="21"/>
        </w:rPr>
        <w:t>Godimento dei diritti civili e politici, assenza di condanne definitive ostative;</w:t>
      </w:r>
    </w:p>
    <w:p>
      <w:pPr>
        <w:pStyle w:val="ListNumber"/>
        <w:spacing w:before="30" w:after="30" w:line="276" w:lineRule="auto"/>
      </w:pPr>
      <w:r>
        <w:rPr>
          <w:rFonts w:ascii="Calibri" w:hAnsi="Calibri"/>
          <w:color w:val="2C3E50"/>
          <w:sz w:val="21"/>
        </w:rPr>
      </w:r>
      <w:r>
        <w:rPr>
          <w:rFonts w:ascii="Calibri" w:hAnsi="Calibri"/>
          <w:b/>
          <w:color w:val="2C3E50"/>
          <w:sz w:val="21"/>
        </w:rPr>
        <w:t>Titolo di studio minimo</w:t>
      </w:r>
      <w:r>
        <w:rPr>
          <w:rFonts w:ascii="Calibri" w:hAnsi="Calibri"/>
          <w:color w:val="2C3E50"/>
          <w:sz w:val="21"/>
        </w:rPr>
        <w:t>: Diploma di laurea (triennale o magistrale, o titolo equipollente estero);</w:t>
      </w:r>
    </w:p>
    <w:p>
      <w:pPr>
        <w:pStyle w:val="ListNumber"/>
        <w:spacing w:before="30" w:after="30" w:line="276" w:lineRule="auto"/>
      </w:pPr>
      <w:r>
        <w:rPr>
          <w:rFonts w:ascii="Calibri" w:hAnsi="Calibri"/>
          <w:color w:val="2C3E50"/>
          <w:sz w:val="21"/>
        </w:rPr>
      </w:r>
      <w:r>
        <w:rPr>
          <w:rFonts w:ascii="Calibri" w:hAnsi="Calibri"/>
          <w:b/>
          <w:color w:val="2C3E50"/>
          <w:sz w:val="21"/>
        </w:rPr>
        <w:t>Competenze linguistiche certificate</w:t>
      </w:r>
      <w:r>
        <w:rPr>
          <w:rFonts w:ascii="Calibri" w:hAnsi="Calibri"/>
          <w:color w:val="2C3E50"/>
          <w:sz w:val="21"/>
        </w:rPr>
        <w:t>:</w:t>
      </w:r>
    </w:p>
    <w:p>
      <w:pPr>
        <w:pStyle w:val="ListBullet"/>
        <w:spacing w:before="30" w:after="30" w:line="276" w:lineRule="auto"/>
      </w:pPr>
      <w:r>
        <w:rPr>
          <w:rFonts w:ascii="Calibri" w:hAnsi="Calibri"/>
          <w:color w:val="2C3E50"/>
          <w:sz w:val="21"/>
        </w:rPr>
        <w:t xml:space="preserve">Conoscenza certificata di </w:t>
      </w:r>
      <w:r>
        <w:rPr>
          <w:rFonts w:ascii="Calibri" w:hAnsi="Calibri"/>
          <w:b/>
          <w:color w:val="2C3E50"/>
          <w:sz w:val="21"/>
        </w:rPr>
        <w:t>almeno due lingue straniere</w:t>
      </w:r>
      <w:r>
        <w:rPr>
          <w:rFonts w:ascii="Calibri" w:hAnsi="Calibri"/>
          <w:color w:val="2C3E50"/>
          <w:sz w:val="21"/>
        </w:rPr>
        <w:t xml:space="preserve">: una a livello </w:t>
      </w:r>
      <w:r>
        <w:rPr>
          <w:rFonts w:ascii="Calibri" w:hAnsi="Calibri"/>
          <w:b/>
          <w:color w:val="2C3E50"/>
          <w:sz w:val="21"/>
        </w:rPr>
        <w:t>C1</w:t>
      </w:r>
      <w:r>
        <w:rPr>
          <w:rFonts w:ascii="Calibri" w:hAnsi="Calibri"/>
          <w:color w:val="2C3E50"/>
          <w:sz w:val="21"/>
        </w:rPr>
        <w:t xml:space="preserve"> e una a livello </w:t>
      </w:r>
      <w:r>
        <w:rPr>
          <w:rFonts w:ascii="Calibri" w:hAnsi="Calibri"/>
          <w:b/>
          <w:color w:val="2C3E50"/>
          <w:sz w:val="21"/>
        </w:rPr>
        <w:t>B2</w:t>
      </w:r>
      <w:r>
        <w:rPr>
          <w:rFonts w:ascii="Calibri" w:hAnsi="Calibri"/>
          <w:color w:val="2C3E50"/>
          <w:sz w:val="21"/>
        </w:rPr>
        <w:t xml:space="preserve"> del QCER (Quadro Comune Europeo di Riferimento);</w:t>
      </w:r>
    </w:p>
    <w:p>
      <w:pPr>
        <w:pStyle w:val="ListBullet"/>
        <w:spacing w:before="30" w:after="30" w:line="276" w:lineRule="auto"/>
      </w:pPr>
      <w:r>
        <w:rPr>
          <w:rFonts w:ascii="Calibri" w:hAnsi="Calibri"/>
          <w:color w:val="2C3E50"/>
          <w:sz w:val="21"/>
        </w:rPr>
        <w:t xml:space="preserve">Per i candidati non di madrelingua italiana: conoscenza certificata della lingua italiana a livello </w:t>
      </w:r>
      <w:r>
        <w:rPr>
          <w:rFonts w:ascii="Calibri" w:hAnsi="Calibri"/>
          <w:b/>
          <w:color w:val="2C3E50"/>
          <w:sz w:val="21"/>
        </w:rPr>
        <w:t>C1</w:t>
      </w:r>
      <w:r>
        <w:rPr>
          <w:rFonts w:ascii="Calibri" w:hAnsi="Calibri"/>
          <w:color w:val="2C3E50"/>
          <w:sz w:val="21"/>
        </w:rPr>
        <w:t>.</w:t>
      </w:r>
    </w:p>
    <w:p>
      <w:pPr>
        <w:keepNext/>
        <w:spacing w:before="200" w:after="60"/>
      </w:pPr>
      <w:r>
        <w:rPr>
          <w:rFonts w:ascii="Calibri" w:hAnsi="Calibri"/>
          <w:b/>
          <w:color w:val="2980B9"/>
          <w:sz w:val="23"/>
        </w:rPr>
        <w:t>3.3 Struttura delle Prove d'Esame (Art. 3 D.M. 88/2024)</w:t>
      </w:r>
    </w:p>
    <w:p>
      <w:pPr>
        <w:spacing w:before="40" w:after="60" w:line="276" w:lineRule="auto"/>
      </w:pPr>
      <w:r>
        <w:rPr>
          <w:rFonts w:ascii="Calibri" w:hAnsi="Calibri"/>
          <w:color w:val="2C3E50"/>
          <w:sz w:val="21"/>
        </w:rPr>
        <w:t xml:space="preserve">L'esame nazionale è articolato in </w:t>
      </w:r>
      <w:r>
        <w:rPr>
          <w:rFonts w:ascii="Calibri" w:hAnsi="Calibri"/>
          <w:b/>
          <w:color w:val="2C3E50"/>
          <w:sz w:val="21"/>
        </w:rPr>
        <w:t>tre prove consecutive</w:t>
      </w:r>
      <w:r>
        <w:rPr>
          <w:rFonts w:ascii="Calibri" w:hAnsi="Calibri"/>
          <w:color w:val="2C3E50"/>
          <w:sz w:val="21"/>
        </w:rPr>
        <w:t>:</w:t>
      </w:r>
    </w:p>
    <w:p>
      <w:pPr>
        <w:pStyle w:val="ListNumber"/>
        <w:spacing w:before="30" w:after="30" w:line="276" w:lineRule="auto"/>
      </w:pPr>
      <w:r>
        <w:rPr>
          <w:rFonts w:ascii="Calibri" w:hAnsi="Calibri"/>
          <w:color w:val="2C3E50"/>
          <w:sz w:val="21"/>
        </w:rPr>
      </w:r>
      <w:r>
        <w:rPr>
          <w:rFonts w:ascii="Calibri" w:hAnsi="Calibri"/>
          <w:b/>
          <w:color w:val="2C3E50"/>
          <w:sz w:val="21"/>
        </w:rPr>
        <w:t>Prova Scritta</w:t>
      </w:r>
      <w:r>
        <w:rPr>
          <w:rFonts w:ascii="Calibri" w:hAnsi="Calibri"/>
          <w:color w:val="2C3E50"/>
          <w:sz w:val="21"/>
        </w:rPr>
        <w:t>: Test a risposta multipla su storia dell'arte, storia d'Italia, geografia turistica, archeologia, diritto del turismo, elementi di legislazione dei beni culturali, accessibilità e inclusività dell'offerta turistica.</w:t>
      </w:r>
    </w:p>
    <w:p>
      <w:pPr>
        <w:pStyle w:val="ListNumber"/>
        <w:spacing w:before="30" w:after="30" w:line="276" w:lineRule="auto"/>
      </w:pPr>
      <w:r>
        <w:rPr>
          <w:rFonts w:ascii="Calibri" w:hAnsi="Calibri"/>
          <w:color w:val="2C3E50"/>
          <w:sz w:val="21"/>
        </w:rPr>
      </w:r>
      <w:r>
        <w:rPr>
          <w:rFonts w:ascii="Calibri" w:hAnsi="Calibri"/>
          <w:b/>
          <w:color w:val="2C3E50"/>
          <w:sz w:val="21"/>
        </w:rPr>
        <w:t>Prova Orale</w:t>
      </w:r>
      <w:r>
        <w:rPr>
          <w:rFonts w:ascii="Calibri" w:hAnsi="Calibri"/>
          <w:color w:val="2C3E50"/>
          <w:sz w:val="21"/>
        </w:rPr>
        <w:t>: Colloquio interdisciplinare sulle stesse materie della prova scritta, volto ad accertare la maturità culturale e la capacità espositiva + verifica delle due lingue straniere prescelte.</w:t>
      </w:r>
    </w:p>
    <w:p>
      <w:pPr>
        <w:pStyle w:val="ListNumber"/>
        <w:spacing w:before="30" w:after="30" w:line="276" w:lineRule="auto"/>
      </w:pPr>
      <w:r>
        <w:rPr>
          <w:rFonts w:ascii="Calibri" w:hAnsi="Calibri"/>
          <w:color w:val="2C3E50"/>
          <w:sz w:val="21"/>
        </w:rPr>
      </w:r>
      <w:r>
        <w:rPr>
          <w:rFonts w:ascii="Calibri" w:hAnsi="Calibri"/>
          <w:b/>
          <w:color w:val="2C3E50"/>
          <w:sz w:val="21"/>
        </w:rPr>
        <w:t>Prova Tecnico-Pratica</w:t>
      </w:r>
      <w:r>
        <w:rPr>
          <w:rFonts w:ascii="Calibri" w:hAnsi="Calibri"/>
          <w:color w:val="2C3E50"/>
          <w:sz w:val="21"/>
        </w:rPr>
        <w:t>: Simulazione di una visita guidata avente ad oggetto l'illustrazione di un sito, monumento o itinerario, con valutazione della capacità di conduzione del gruppo, gestione dei tempi, sicurezza, accoglienza e capacità di adattamento a persone con specifiche esigenze di accessibilità.</w:t>
      </w:r>
    </w:p>
    <w:p>
      <w:pPr>
        <w:pStyle w:val="ListBullet"/>
        <w:spacing w:before="30" w:after="30" w:line="276" w:lineRule="auto"/>
      </w:pPr>
      <w:r>
        <w:rPr>
          <w:rFonts w:ascii="Calibri" w:hAnsi="Calibri"/>
          <w:color w:val="2C3E50"/>
          <w:sz w:val="21"/>
        </w:rPr>
        <w:t>*Commissione esaminatrice (Art. 4 D.M. 88/2024)*: Composta da 5 membri (dirigente/funzionario del Ministero, docenti universitari ed esperti delle materie, rappresentanti delle guide turistiche).</w:t>
      </w:r>
    </w:p>
    <w:p>
      <w:pPr>
        <w:keepNext/>
        <w:spacing w:before="200" w:after="60"/>
      </w:pPr>
      <w:r>
        <w:rPr>
          <w:rFonts w:ascii="Calibri" w:hAnsi="Calibri"/>
          <w:b/>
          <w:color w:val="2980B9"/>
          <w:sz w:val="23"/>
        </w:rPr>
        <w:t>3.4 Elenco Nazionale e Tesserino di Riconoscimento (Art. 5 L. 190/2023; Artt. 5-10 D.M. 88/2024)</w:t>
      </w:r>
    </w:p>
    <w:p>
      <w:pPr>
        <w:pStyle w:val="ListBullet"/>
        <w:spacing w:before="30" w:after="30" w:line="276" w:lineRule="auto"/>
      </w:pPr>
      <w:r>
        <w:rPr>
          <w:rFonts w:ascii="Calibri" w:hAnsi="Calibri"/>
          <w:color w:val="2C3E50"/>
          <w:sz w:val="21"/>
        </w:rPr>
      </w:r>
      <w:r>
        <w:rPr>
          <w:rFonts w:ascii="Calibri" w:hAnsi="Calibri"/>
          <w:b/>
          <w:color w:val="2C3E50"/>
          <w:sz w:val="21"/>
        </w:rPr>
        <w:t>Istituzione</w:t>
      </w:r>
      <w:r>
        <w:rPr>
          <w:rFonts w:ascii="Calibri" w:hAnsi="Calibri"/>
          <w:color w:val="2C3E50"/>
          <w:sz w:val="21"/>
        </w:rPr>
        <w:t>: Presso il Ministero del Turismo è istituito l'</w:t>
      </w:r>
      <w:r>
        <w:rPr>
          <w:rFonts w:ascii="Calibri" w:hAnsi="Calibri"/>
          <w:b/>
          <w:color w:val="2C3E50"/>
          <w:sz w:val="21"/>
        </w:rPr>
        <w:t>Elenco Nazionale delle Guide Turistiche</w:t>
      </w:r>
      <w:r>
        <w:rPr>
          <w:rFonts w:ascii="Calibri" w:hAnsi="Calibri"/>
          <w:color w:val="2C3E50"/>
          <w:sz w:val="21"/>
        </w:rPr>
        <w:t>, consultabile pubblicamente online.</w:t>
      </w:r>
    </w:p>
    <w:p>
      <w:pPr>
        <w:pStyle w:val="ListBullet"/>
        <w:spacing w:before="30" w:after="30" w:line="276" w:lineRule="auto"/>
      </w:pPr>
      <w:r>
        <w:rPr>
          <w:rFonts w:ascii="Calibri" w:hAnsi="Calibri"/>
          <w:color w:val="2C3E50"/>
          <w:sz w:val="21"/>
        </w:rPr>
      </w:r>
      <w:r>
        <w:rPr>
          <w:rFonts w:ascii="Calibri" w:hAnsi="Calibri"/>
          <w:b/>
          <w:color w:val="2C3E50"/>
          <w:sz w:val="21"/>
        </w:rPr>
        <w:t>Articolazione in due sezioni (Art. 6 D.M. 88/2024)</w:t>
      </w:r>
      <w:r>
        <w:rPr>
          <w:rFonts w:ascii="Calibri" w:hAnsi="Calibri"/>
          <w:color w:val="2C3E50"/>
          <w:sz w:val="21"/>
        </w:rPr>
        <w:t>:</w:t>
      </w:r>
    </w:p>
    <w:p>
      <w:pPr>
        <w:pStyle w:val="ListNumber"/>
        <w:spacing w:before="30" w:after="30" w:line="276" w:lineRule="auto"/>
      </w:pPr>
      <w:r>
        <w:rPr>
          <w:rFonts w:ascii="Calibri" w:hAnsi="Calibri"/>
          <w:color w:val="2C3E50"/>
          <w:sz w:val="21"/>
        </w:rPr>
        <w:t>*Sezione Ordinaria*: Guide che hanno superato l'esame nazionale o già abilitate all'entrata in vigore della legge (iscrizione d'ufficio ex art. 13).</w:t>
      </w:r>
    </w:p>
    <w:p>
      <w:pPr>
        <w:pStyle w:val="ListNumber"/>
        <w:spacing w:before="30" w:after="30" w:line="276" w:lineRule="auto"/>
      </w:pPr>
      <w:r>
        <w:rPr>
          <w:rFonts w:ascii="Calibri" w:hAnsi="Calibri"/>
          <w:color w:val="2C3E50"/>
          <w:sz w:val="21"/>
        </w:rPr>
        <w:t>*Sezione Speciale*: Professionisti abilitati all'estero che hanno ottenuto il riconoscimento del titolo.</w:t>
      </w:r>
    </w:p>
    <w:p>
      <w:pPr>
        <w:pStyle w:val="ListBullet"/>
        <w:spacing w:before="30" w:after="30" w:line="276" w:lineRule="auto"/>
      </w:pPr>
      <w:r>
        <w:rPr>
          <w:rFonts w:ascii="Calibri" w:hAnsi="Calibri"/>
          <w:color w:val="2C3E50"/>
          <w:sz w:val="21"/>
        </w:rPr>
      </w:r>
      <w:r>
        <w:rPr>
          <w:rFonts w:ascii="Calibri" w:hAnsi="Calibri"/>
          <w:b/>
          <w:color w:val="2C3E50"/>
          <w:sz w:val="21"/>
        </w:rPr>
        <w:t>Tesserino di riconoscimento (Art. 9 D.M. 88/2024)</w:t>
      </w:r>
      <w:r>
        <w:rPr>
          <w:rFonts w:ascii="Calibri" w:hAnsi="Calibri"/>
          <w:color w:val="2C3E50"/>
          <w:sz w:val="21"/>
        </w:rPr>
        <w:t xml:space="preserve">: Rilasciato dal Ministero, contiene foto, dati anagrafici, numero univoco di iscrizione, lingue abilitate e un </w:t>
      </w:r>
      <w:r>
        <w:rPr>
          <w:rFonts w:ascii="Calibri" w:hAnsi="Calibri"/>
          <w:b/>
          <w:color w:val="2C3E50"/>
          <w:sz w:val="21"/>
        </w:rPr>
        <w:t>QR-code</w:t>
      </w:r>
      <w:r>
        <w:rPr>
          <w:rFonts w:ascii="Calibri" w:hAnsi="Calibri"/>
          <w:color w:val="2C3E50"/>
          <w:sz w:val="21"/>
        </w:rPr>
        <w:t xml:space="preserve"> per la verifica telematica istantanea della validità.</w:t>
      </w:r>
    </w:p>
    <w:p>
      <w:pPr>
        <w:keepNext/>
        <w:spacing w:before="200" w:after="60"/>
      </w:pPr>
      <w:r>
        <w:rPr>
          <w:rFonts w:ascii="Calibri" w:hAnsi="Calibri"/>
          <w:b/>
          <w:color w:val="2980B9"/>
          <w:sz w:val="23"/>
        </w:rPr>
        <w:t>3.5 Diritti e Obblighi della Guida Turistica</w:t>
      </w:r>
    </w:p>
    <w:p>
      <w:pPr>
        <w:pStyle w:val="ListBullet"/>
        <w:spacing w:before="30" w:after="30" w:line="276" w:lineRule="auto"/>
      </w:pPr>
      <w:r>
        <w:rPr>
          <w:rFonts w:ascii="Calibri" w:hAnsi="Calibri"/>
          <w:color w:val="2C3E50"/>
          <w:sz w:val="21"/>
        </w:rPr>
      </w:r>
      <w:r>
        <w:rPr>
          <w:rFonts w:ascii="Calibri" w:hAnsi="Calibri"/>
          <w:b/>
          <w:color w:val="2C3E50"/>
          <w:sz w:val="21"/>
        </w:rPr>
        <w:t>DIRITTI (Art. 9 L. 190/2023)</w:t>
      </w:r>
      <w:r>
        <w:rPr>
          <w:rFonts w:ascii="Calibri" w:hAnsi="Calibri"/>
          <w:color w:val="2C3E50"/>
          <w:sz w:val="21"/>
        </w:rPr>
        <w:t>:</w:t>
      </w:r>
    </w:p>
    <w:p>
      <w:pPr>
        <w:pStyle w:val="ListBullet"/>
        <w:spacing w:before="30" w:after="30" w:line="276" w:lineRule="auto"/>
      </w:pPr>
      <w:r>
        <w:rPr>
          <w:rFonts w:ascii="Calibri" w:hAnsi="Calibri"/>
          <w:color w:val="2C3E50"/>
          <w:sz w:val="21"/>
        </w:rPr>
      </w:r>
      <w:r>
        <w:rPr>
          <w:rFonts w:ascii="Calibri" w:hAnsi="Calibri"/>
          <w:b/>
          <w:color w:val="2C3E50"/>
          <w:sz w:val="21"/>
        </w:rPr>
        <w:t>Diritto di ingresso gratuito</w:t>
      </w:r>
      <w:r>
        <w:rPr>
          <w:rFonts w:ascii="Calibri" w:hAnsi="Calibri"/>
          <w:color w:val="2C3E50"/>
          <w:sz w:val="21"/>
        </w:rPr>
        <w:t>: La guida turistica, esibendo il tesserino personale, ha diritto all'ingresso libero e gratuito in tutti i musei, gallerie, monumenti, scavi archeologici statali, regionali, comunali e di altri enti pubblici, nonché nelle strutture private convenzionate, sia nell'esercizio della professione sia per finalità di studio e aggiornamento.</w:t>
      </w:r>
    </w:p>
    <w:p>
      <w:pPr>
        <w:pStyle w:val="ListBullet"/>
        <w:spacing w:before="30" w:after="30" w:line="276" w:lineRule="auto"/>
      </w:pPr>
      <w:r>
        <w:rPr>
          <w:rFonts w:ascii="Calibri" w:hAnsi="Calibri"/>
          <w:color w:val="2C3E50"/>
          <w:sz w:val="21"/>
        </w:rPr>
      </w:r>
      <w:r>
        <w:rPr>
          <w:rFonts w:ascii="Calibri" w:hAnsi="Calibri"/>
          <w:b/>
          <w:color w:val="2C3E50"/>
          <w:sz w:val="21"/>
        </w:rPr>
        <w:t>Equo compenso (Art. 10 L. 190/2023)</w:t>
      </w:r>
      <w:r>
        <w:rPr>
          <w:rFonts w:ascii="Calibri" w:hAnsi="Calibri"/>
          <w:color w:val="2C3E50"/>
          <w:sz w:val="21"/>
        </w:rPr>
        <w:t>: I compensi professionali devono essere proporzionati alla durata, al contenuto e alla qualità della prestazione.</w:t>
      </w:r>
    </w:p>
    <w:p>
      <w:pPr>
        <w:pStyle w:val="ListBullet"/>
        <w:spacing w:before="30" w:after="30" w:line="276" w:lineRule="auto"/>
      </w:pPr>
      <w:r>
        <w:rPr>
          <w:rFonts w:ascii="Calibri" w:hAnsi="Calibri"/>
          <w:color w:val="2C3E50"/>
          <w:sz w:val="21"/>
        </w:rPr>
      </w:r>
      <w:r>
        <w:rPr>
          <w:rFonts w:ascii="Calibri" w:hAnsi="Calibri"/>
          <w:b/>
          <w:color w:val="2C3E50"/>
          <w:sz w:val="21"/>
        </w:rPr>
        <w:t>OBBLIGHI DI COMPORTAMENTO (Art. 11 L. 190/2023)</w:t>
      </w:r>
      <w:r>
        <w:rPr>
          <w:rFonts w:ascii="Calibri" w:hAnsi="Calibri"/>
          <w:color w:val="2C3E50"/>
          <w:sz w:val="21"/>
        </w:rPr>
        <w:t>:</w:t>
      </w:r>
    </w:p>
    <w:p>
      <w:pPr>
        <w:pStyle w:val="ListNumber"/>
        <w:spacing w:before="30" w:after="30" w:line="276" w:lineRule="auto"/>
      </w:pPr>
      <w:r>
        <w:rPr>
          <w:rFonts w:ascii="Calibri" w:hAnsi="Calibri"/>
          <w:color w:val="2C3E50"/>
          <w:sz w:val="21"/>
        </w:rPr>
        <w:t xml:space="preserve">Portare in modo </w:t>
      </w:r>
      <w:r>
        <w:rPr>
          <w:rFonts w:ascii="Calibri" w:hAnsi="Calibri"/>
          <w:b/>
          <w:color w:val="2C3E50"/>
          <w:sz w:val="21"/>
        </w:rPr>
        <w:t>visibile il tesserino</w:t>
      </w:r>
      <w:r>
        <w:rPr>
          <w:rFonts w:ascii="Calibri" w:hAnsi="Calibri"/>
          <w:color w:val="2C3E50"/>
          <w:sz w:val="21"/>
        </w:rPr>
        <w:t xml:space="preserve"> durante lo svolgimento della visita guidata;</w:t>
      </w:r>
    </w:p>
    <w:p>
      <w:pPr>
        <w:pStyle w:val="ListNumber"/>
        <w:spacing w:before="30" w:after="30" w:line="276" w:lineRule="auto"/>
      </w:pPr>
      <w:r>
        <w:rPr>
          <w:rFonts w:ascii="Calibri" w:hAnsi="Calibri"/>
          <w:color w:val="2C3E50"/>
          <w:sz w:val="21"/>
        </w:rPr>
        <w:t>Fornire all'utente informazioni trasparenti su tariffe e prestazioni;</w:t>
      </w:r>
    </w:p>
    <w:p>
      <w:pPr>
        <w:pStyle w:val="ListNumber"/>
        <w:spacing w:before="30" w:after="30" w:line="276" w:lineRule="auto"/>
      </w:pPr>
      <w:r>
        <w:rPr>
          <w:rFonts w:ascii="Calibri" w:hAnsi="Calibri"/>
          <w:color w:val="2C3E50"/>
          <w:sz w:val="21"/>
        </w:rPr>
        <w:t>Rispettare i regolamenti di visita, gli orari e i percorsi stabiliti dai gestori dei siti;</w:t>
      </w:r>
    </w:p>
    <w:p>
      <w:pPr>
        <w:pStyle w:val="ListNumber"/>
        <w:spacing w:before="30" w:after="30" w:line="276" w:lineRule="auto"/>
      </w:pPr>
      <w:r>
        <w:rPr>
          <w:rFonts w:ascii="Calibri" w:hAnsi="Calibri"/>
          <w:color w:val="2C3E50"/>
          <w:sz w:val="21"/>
        </w:rPr>
        <w:t>Mantenere il decoro professionale e la diligenza professionale;</w:t>
      </w:r>
    </w:p>
    <w:p>
      <w:pPr>
        <w:pStyle w:val="ListNumber"/>
        <w:spacing w:before="30" w:after="30" w:line="276" w:lineRule="auto"/>
      </w:pPr>
      <w:r>
        <w:rPr>
          <w:rFonts w:ascii="Calibri" w:hAnsi="Calibri"/>
          <w:color w:val="2C3E50"/>
          <w:sz w:val="21"/>
        </w:rPr>
        <w:t>Assolvere all'obbligo di formazione continua.</w:t>
      </w:r>
    </w:p>
    <w:p>
      <w:pPr>
        <w:keepNext/>
        <w:spacing w:before="200" w:after="60"/>
      </w:pPr>
      <w:r>
        <w:rPr>
          <w:rFonts w:ascii="Calibri" w:hAnsi="Calibri"/>
          <w:b/>
          <w:color w:val="2980B9"/>
          <w:sz w:val="23"/>
        </w:rPr>
        <w:t>3.6 Formazione Continua e Corsi di Specializzazione (Art. 7 L. 190/2023; Artt. 21-23 D.M. 88/2024)</w:t>
      </w:r>
    </w:p>
    <w:p>
      <w:pPr>
        <w:pStyle w:val="ListBullet"/>
        <w:spacing w:before="30" w:after="30" w:line="276" w:lineRule="auto"/>
      </w:pPr>
      <w:r>
        <w:rPr>
          <w:rFonts w:ascii="Calibri" w:hAnsi="Calibri"/>
          <w:color w:val="2C3E50"/>
          <w:sz w:val="21"/>
        </w:rPr>
      </w:r>
      <w:r>
        <w:rPr>
          <w:rFonts w:ascii="Calibri" w:hAnsi="Calibri"/>
          <w:b/>
          <w:color w:val="2C3E50"/>
          <w:sz w:val="21"/>
        </w:rPr>
        <w:t>Aggiornamento professionale obbligatorio</w:t>
      </w:r>
      <w:r>
        <w:rPr>
          <w:rFonts w:ascii="Calibri" w:hAnsi="Calibri"/>
          <w:color w:val="2C3E50"/>
          <w:sz w:val="21"/>
        </w:rPr>
        <w:t xml:space="preserve">: Ha cadenza </w:t>
      </w:r>
      <w:r>
        <w:rPr>
          <w:rFonts w:ascii="Calibri" w:hAnsi="Calibri"/>
          <w:b/>
          <w:color w:val="2C3E50"/>
          <w:sz w:val="21"/>
        </w:rPr>
        <w:t>triennale</w:t>
      </w:r>
      <w:r>
        <w:rPr>
          <w:rFonts w:ascii="Calibri" w:hAnsi="Calibri"/>
          <w:color w:val="2C3E50"/>
          <w:sz w:val="21"/>
        </w:rPr>
        <w:t xml:space="preserve">. Le guide iscritte devono frequentare corsi autorizzati dal Ministero per un totale di almeno </w:t>
      </w:r>
      <w:r>
        <w:rPr>
          <w:rFonts w:ascii="Calibri" w:hAnsi="Calibri"/>
          <w:b/>
          <w:color w:val="2C3E50"/>
          <w:sz w:val="21"/>
        </w:rPr>
        <w:t>50 ore complessive</w:t>
      </w:r>
      <w:r>
        <w:rPr>
          <w:rFonts w:ascii="Calibri" w:hAnsi="Calibri"/>
          <w:color w:val="2C3E50"/>
          <w:sz w:val="21"/>
        </w:rPr>
        <w:t xml:space="preserve"> a triennio. Il mancato adempimento comporta la sospensione dall'elenco nazionale.</w:t>
      </w:r>
    </w:p>
    <w:p>
      <w:pPr>
        <w:pStyle w:val="ListBullet"/>
        <w:spacing w:before="30" w:after="30" w:line="276" w:lineRule="auto"/>
      </w:pPr>
      <w:r>
        <w:rPr>
          <w:rFonts w:ascii="Calibri" w:hAnsi="Calibri"/>
          <w:color w:val="2C3E50"/>
          <w:sz w:val="21"/>
        </w:rPr>
      </w:r>
      <w:r>
        <w:rPr>
          <w:rFonts w:ascii="Calibri" w:hAnsi="Calibri"/>
          <w:b/>
          <w:color w:val="2C3E50"/>
          <w:sz w:val="21"/>
        </w:rPr>
        <w:t>Corsi di specializzazione (facoltativi)</w:t>
      </w:r>
      <w:r>
        <w:rPr>
          <w:rFonts w:ascii="Calibri" w:hAnsi="Calibri"/>
          <w:color w:val="2C3E50"/>
          <w:sz w:val="21"/>
        </w:rPr>
        <w:t>: Consentono di acquisire ulteriori qualifiche registrate nell'Elenco nazionale:</w:t>
      </w:r>
    </w:p>
    <w:p>
      <w:pPr>
        <w:pStyle w:val="ListBullet"/>
        <w:spacing w:before="30" w:after="30" w:line="276" w:lineRule="auto"/>
      </w:pPr>
      <w:r>
        <w:rPr>
          <w:rFonts w:ascii="Calibri" w:hAnsi="Calibri"/>
          <w:color w:val="2C3E50"/>
          <w:sz w:val="21"/>
        </w:rPr>
        <w:t>*Specializzazioni tematiche*: es. turismo enogastronomico, religioso, naturalistico, accessibile;</w:t>
      </w:r>
    </w:p>
    <w:p>
      <w:pPr>
        <w:pStyle w:val="ListBullet"/>
        <w:spacing w:before="30" w:after="30" w:line="276" w:lineRule="auto"/>
      </w:pPr>
      <w:r>
        <w:rPr>
          <w:rFonts w:ascii="Calibri" w:hAnsi="Calibri"/>
          <w:color w:val="2C3E50"/>
          <w:sz w:val="21"/>
        </w:rPr>
        <w:t>*Specializzazioni territoriali*: approfondimento di specifiche realtà regionali o ambiti storici locali (corsi di durata non inferiore a 50 ore).</w:t>
      </w:r>
    </w:p>
    <w:p>
      <w:pPr>
        <w:keepNext/>
        <w:spacing w:before="200" w:after="60"/>
      </w:pPr>
      <w:r>
        <w:rPr>
          <w:rFonts w:ascii="Calibri" w:hAnsi="Calibri"/>
          <w:b/>
          <w:color w:val="2980B9"/>
          <w:sz w:val="23"/>
        </w:rPr>
        <w:t>3.7 Titoli Esteri e Mobilità UE (Art. 6 L. 190/2023; Artt. 13-20 D.M. 88/2024)</w:t>
      </w:r>
    </w:p>
    <w:p>
      <w:pPr>
        <w:spacing w:before="40" w:after="60" w:line="276" w:lineRule="auto"/>
      </w:pPr>
      <w:r>
        <w:rPr>
          <w:rFonts w:ascii="Calibri" w:hAnsi="Calibri"/>
          <w:color w:val="2C3E50"/>
          <w:sz w:val="21"/>
        </w:rPr>
        <w:t>In conformità alla Direttiva qualifiche (2005/36/CE e 2013/55/UE):</w:t>
      </w:r>
    </w:p>
    <w:p>
      <w:pPr>
        <w:pStyle w:val="ListBullet"/>
        <w:spacing w:before="30" w:after="30" w:line="276" w:lineRule="auto"/>
      </w:pPr>
      <w:r>
        <w:rPr>
          <w:rFonts w:ascii="Calibri" w:hAnsi="Calibri"/>
          <w:color w:val="2C3E50"/>
          <w:sz w:val="21"/>
        </w:rPr>
        <w:t>*Stabilimento in Italia*: Il professionista UE/SEE/Svizzera può chiedere il riconoscimento della qualifica. In presenza di differenze sostanziali di formazione, il Ministero applica misure compensative a scelta del candidato tra:</w:t>
      </w:r>
    </w:p>
    <w:p>
      <w:pPr>
        <w:spacing w:before="40" w:after="60" w:line="276" w:lineRule="auto"/>
      </w:pPr>
      <w:r>
        <w:rPr>
          <w:rFonts w:ascii="Calibri" w:hAnsi="Calibri"/>
          <w:color w:val="2C3E50"/>
          <w:sz w:val="21"/>
        </w:rPr>
        <w:t xml:space="preserve">a) Una </w:t>
      </w:r>
      <w:r>
        <w:rPr>
          <w:rFonts w:ascii="Calibri" w:hAnsi="Calibri"/>
          <w:b/>
          <w:color w:val="2C3E50"/>
          <w:sz w:val="21"/>
        </w:rPr>
        <w:t>prova attitudinale</w:t>
      </w:r>
      <w:r>
        <w:rPr>
          <w:rFonts w:ascii="Calibri" w:hAnsi="Calibri"/>
          <w:color w:val="2C3E50"/>
          <w:sz w:val="21"/>
        </w:rPr>
        <w:t xml:space="preserve"> (art. 16 D.M. 88/2024);</w:t>
      </w:r>
    </w:p>
    <w:p>
      <w:pPr>
        <w:spacing w:before="40" w:after="60" w:line="276" w:lineRule="auto"/>
      </w:pPr>
      <w:r>
        <w:rPr>
          <w:rFonts w:ascii="Calibri" w:hAnsi="Calibri"/>
          <w:color w:val="2C3E50"/>
          <w:sz w:val="21"/>
        </w:rPr>
        <w:t xml:space="preserve">b) Un </w:t>
      </w:r>
      <w:r>
        <w:rPr>
          <w:rFonts w:ascii="Calibri" w:hAnsi="Calibri"/>
          <w:b/>
          <w:color w:val="2C3E50"/>
          <w:sz w:val="21"/>
        </w:rPr>
        <w:t>tirocinio di adattamento</w:t>
      </w:r>
      <w:r>
        <w:rPr>
          <w:rFonts w:ascii="Calibri" w:hAnsi="Calibri"/>
          <w:color w:val="2C3E50"/>
          <w:sz w:val="21"/>
        </w:rPr>
        <w:t xml:space="preserve"> della durata massima di 24 mesi (art. 18 D.M. 88/2024).</w:t>
      </w:r>
    </w:p>
    <w:p>
      <w:pPr>
        <w:pStyle w:val="ListBullet"/>
        <w:spacing w:before="30" w:after="30" w:line="276" w:lineRule="auto"/>
      </w:pPr>
      <w:r>
        <w:rPr>
          <w:rFonts w:ascii="Calibri" w:hAnsi="Calibri"/>
          <w:color w:val="2C3E50"/>
          <w:sz w:val="21"/>
        </w:rPr>
        <w:t xml:space="preserve">*Libera prestazione temporanea e occasionale (Art. 14 D.M. 88/2024)*: Consentita a guide stabilite legalmente in altro Stato UE, previa presentazione di una </w:t>
      </w:r>
      <w:r>
        <w:rPr>
          <w:rFonts w:ascii="Calibri" w:hAnsi="Calibri"/>
          <w:b/>
          <w:color w:val="2C3E50"/>
          <w:sz w:val="21"/>
        </w:rPr>
        <w:t>dichiarazione preventiva telematica annuale</w:t>
      </w:r>
      <w:r>
        <w:rPr>
          <w:rFonts w:ascii="Calibri" w:hAnsi="Calibri"/>
          <w:color w:val="2C3E50"/>
          <w:sz w:val="21"/>
        </w:rPr>
        <w:t xml:space="preserve"> al Ministero del Turismo.</w:t>
      </w:r>
    </w:p>
    <w:p>
      <w:pPr>
        <w:keepNext/>
        <w:spacing w:before="200" w:after="60"/>
      </w:pPr>
      <w:r>
        <w:rPr>
          <w:rFonts w:ascii="Calibri" w:hAnsi="Calibri"/>
          <w:b/>
          <w:color w:val="2980B9"/>
          <w:sz w:val="23"/>
        </w:rPr>
        <w:t>3.8 Quadro Sanzionatorio (Art. 12 L. 190/2023; Artt. 24-27 D.M. 88/2024)</w:t>
      </w:r>
    </w:p>
    <w:tbl>
      <w:tblPr>
        <w:tblW w:type="auto" w:w="0"/>
        <w:jc w:val="center"/>
        <w:tblLayout w:type="fixed"/>
        <w:tblLook w:firstColumn="1" w:firstRow="1" w:lastColumn="0" w:lastRow="0" w:noHBand="0" w:noVBand="1" w:val="04A0"/>
      </w:tblPr>
      <w:tblGrid>
        <w:gridCol w:w="3312"/>
        <w:gridCol w:w="3312"/>
        <w:gridCol w:w="3312"/>
      </w:tblGrid>
      <w:tr>
        <w:tc>
          <w:tcPr>
            <w:tcW w:type="dxa" w:w="3312"/>
            <w:vAlign w:val="center"/>
            <w:tcMar>
              <w:top w:w="120" w:type="dxa"/>
              <w:bottom w:w="120" w:type="dxa"/>
              <w:left w:w="160" w:type="dxa"/>
              <w:right w:w="160" w:type="dxa"/>
            </w:tcMar>
            <w:shd w:fill="1A56A0"/>
          </w:tcPr>
          <w:p>
            <w:pPr>
              <w:spacing w:before="40" w:after="40" w:line="276" w:lineRule="auto"/>
            </w:pPr>
            <w:r>
              <w:rPr>
                <w:rFonts w:ascii="Calibri" w:hAnsi="Calibri"/>
                <w:b/>
                <w:color w:val="FFFFFF"/>
                <w:sz w:val="19"/>
              </w:rPr>
              <w:t>Violazione</w:t>
            </w:r>
          </w:p>
        </w:tc>
        <w:tc>
          <w:tcPr>
            <w:tcW w:type="dxa" w:w="3312"/>
            <w:vAlign w:val="center"/>
            <w:tcMar>
              <w:top w:w="120" w:type="dxa"/>
              <w:bottom w:w="120" w:type="dxa"/>
              <w:left w:w="160" w:type="dxa"/>
              <w:right w:w="160" w:type="dxa"/>
            </w:tcMar>
            <w:shd w:fill="1A56A0"/>
          </w:tcPr>
          <w:p>
            <w:pPr>
              <w:spacing w:before="40" w:after="40" w:line="276" w:lineRule="auto"/>
            </w:pPr>
            <w:r>
              <w:rPr>
                <w:rFonts w:ascii="Calibri" w:hAnsi="Calibri"/>
                <w:b/>
                <w:color w:val="FFFFFF"/>
                <w:sz w:val="19"/>
              </w:rPr>
              <w:t>Soggetto responsabile</w:t>
            </w:r>
          </w:p>
        </w:tc>
        <w:tc>
          <w:tcPr>
            <w:tcW w:type="dxa" w:w="3312"/>
            <w:vAlign w:val="center"/>
            <w:tcMar>
              <w:top w:w="120" w:type="dxa"/>
              <w:bottom w:w="120" w:type="dxa"/>
              <w:left w:w="160" w:type="dxa"/>
              <w:right w:w="160" w:type="dxa"/>
            </w:tcMar>
            <w:shd w:fill="1A56A0"/>
          </w:tcPr>
          <w:p>
            <w:pPr>
              <w:spacing w:before="40" w:after="40" w:line="276" w:lineRule="auto"/>
            </w:pPr>
            <w:r>
              <w:rPr>
                <w:rFonts w:ascii="Calibri" w:hAnsi="Calibri"/>
                <w:b/>
                <w:color w:val="FFFFFF"/>
                <w:sz w:val="19"/>
              </w:rPr>
              <w:t>Sanzione amministrativa</w:t>
            </w:r>
          </w:p>
        </w:tc>
      </w:tr>
      <w:tr>
        <w:tc>
          <w:tcPr>
            <w:tcW w:type="dxa" w:w="3312"/>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Esercizio abusivo della professione (svolgere attività di guida turistica senza iscrizione all'Elenco nazionale)</w:t>
            </w:r>
          </w:p>
        </w:tc>
        <w:tc>
          <w:tcPr>
            <w:tcW w:type="dxa" w:w="3312"/>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Chiunque eserciti abusivamente</w:t>
            </w:r>
          </w:p>
        </w:tc>
        <w:tc>
          <w:tcPr>
            <w:tcW w:type="dxa" w:w="3312"/>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Da 3.000 € a 12.000 €</w:t>
            </w:r>
          </w:p>
        </w:tc>
      </w:tr>
      <w:tr>
        <w:tc>
          <w:tcPr>
            <w:tcW w:type="dxa" w:w="3312"/>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Intermediazione abusiva (avvalersi o promuovere soggetti non iscritti all'Elenco nazionale)</w:t>
            </w:r>
          </w:p>
        </w:tc>
        <w:tc>
          <w:tcPr>
            <w:tcW w:type="dxa" w:w="3312"/>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Agenzie di viaggio, Tour Operator, Hotel, piattaforme, guide, intermediari</w:t>
            </w:r>
          </w:p>
        </w:tc>
        <w:tc>
          <w:tcPr>
            <w:tcW w:type="dxa" w:w="3312"/>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Da 5.000 € a 15.000 €</w:t>
            </w:r>
          </w:p>
        </w:tc>
      </w:tr>
      <w:tr>
        <w:tc>
          <w:tcPr>
            <w:tcW w:type="dxa" w:w="3312"/>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Mancata esposizione del tesserino o violazione degli obblighi di comportamento ex art. 11</w:t>
            </w:r>
          </w:p>
        </w:tc>
        <w:tc>
          <w:tcPr>
            <w:tcW w:type="dxa" w:w="3312"/>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Guida abilitata</w:t>
            </w:r>
          </w:p>
        </w:tc>
        <w:tc>
          <w:tcPr>
            <w:tcW w:type="dxa" w:w="3312"/>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Da 500 € a 3.000 € (recidiva: sospensione/cancellazione)</w:t>
            </w:r>
          </w:p>
        </w:tc>
      </w:tr>
      <w:tr>
        <w:tc>
          <w:tcPr>
            <w:tcW w:type="dxa" w:w="3312"/>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Mancato aggiornamento triennale</w:t>
            </w:r>
          </w:p>
        </w:tc>
        <w:tc>
          <w:tcPr>
            <w:tcW w:type="dxa" w:w="3312"/>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Guida abilitata</w:t>
            </w:r>
          </w:p>
        </w:tc>
        <w:tc>
          <w:tcPr>
            <w:tcW w:type="dxa" w:w="3312"/>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Sospensione dall'Elenco fino ad assolvimento</w:t>
            </w:r>
          </w:p>
        </w:tc>
      </w:tr>
    </w:tbl>
    <w:p>
      <w:pPr>
        <w:spacing w:before="80" w:after="80"/>
      </w:pPr>
    </w:p>
    <w:p>
      <w:pPr>
        <w:keepNext/>
        <w:spacing w:before="280" w:after="80"/>
      </w:pPr>
      <w:r>
        <w:rPr>
          <w:rFonts w:ascii="Calibri" w:hAnsi="Calibri"/>
          <w:b/>
          <w:color w:val="1A56A0"/>
          <w:sz w:val="28"/>
        </w:rPr>
        <w:t>4. PRINCIPI COSTITUZIONALI E FONTI DELL'UNIONE EUROPEA</w:t>
      </w:r>
    </w:p>
    <w:p>
      <w:pPr>
        <w:spacing w:before="40" w:after="60" w:line="276" w:lineRule="auto"/>
      </w:pPr>
      <w:r>
        <w:rPr>
          <w:rFonts w:ascii="Calibri" w:hAnsi="Calibri"/>
          <w:color w:val="2C3E50"/>
          <w:sz w:val="21"/>
        </w:rPr>
      </w:r>
      <w:r>
        <w:rPr>
          <w:rFonts w:ascii="Calibri" w:hAnsi="Calibri"/>
          <w:b/>
          <w:color w:val="2C3E50"/>
          <w:sz w:val="21"/>
        </w:rPr>
        <w:t>Fonti primarie</w:t>
      </w:r>
      <w:r>
        <w:rPr>
          <w:rFonts w:ascii="Calibri" w:hAnsi="Calibri"/>
          <w:color w:val="2C3E50"/>
          <w:sz w:val="21"/>
        </w:rPr>
        <w:t>: Costituzione della Repubblica Italiana (Artt. 9, 16, 32, 36, 41, 117); Trattato sul Funzionamento dell'Unione Europea (TFUE, Art. 195).</w:t>
      </w:r>
    </w:p>
    <w:p>
      <w:pPr>
        <w:keepNext/>
        <w:spacing w:before="200" w:after="60"/>
      </w:pPr>
      <w:r>
        <w:rPr>
          <w:rFonts w:ascii="Calibri" w:hAnsi="Calibri"/>
          <w:b/>
          <w:color w:val="2980B9"/>
          <w:sz w:val="23"/>
        </w:rPr>
        <w:t>4.1 I Principi Costituzionali in Materia di Turismo</w:t>
      </w:r>
    </w:p>
    <w:p>
      <w:pPr>
        <w:spacing w:before="40" w:after="60" w:line="276" w:lineRule="auto"/>
      </w:pPr>
      <w:r>
        <w:rPr>
          <w:rFonts w:ascii="Calibri" w:hAnsi="Calibri"/>
          <w:color w:val="2C3E50"/>
          <w:sz w:val="21"/>
        </w:rPr>
        <w:t>Benché la Costituzione non contenga la parola "turismo" nei principi fondamentali, molteplici articoli formano il pilastro del fenomeno turistico:</w:t>
      </w:r>
    </w:p>
    <w:p>
      <w:pPr>
        <w:pStyle w:val="ListBullet"/>
        <w:spacing w:before="30" w:after="30" w:line="276" w:lineRule="auto"/>
      </w:pPr>
      <w:r>
        <w:rPr>
          <w:rFonts w:ascii="Calibri" w:hAnsi="Calibri"/>
          <w:color w:val="2C3E50"/>
          <w:sz w:val="21"/>
        </w:rPr>
      </w:r>
      <w:r>
        <w:rPr>
          <w:rFonts w:ascii="Calibri" w:hAnsi="Calibri"/>
          <w:b/>
          <w:color w:val="2C3E50"/>
          <w:sz w:val="21"/>
        </w:rPr>
        <w:t>Articolo 9 (Cultura, Patrimonio e Ambiente)</w:t>
      </w:r>
      <w:r>
        <w:rPr>
          <w:rFonts w:ascii="Calibri" w:hAnsi="Calibri"/>
          <w:color w:val="2C3E50"/>
          <w:sz w:val="21"/>
        </w:rPr>
        <w:t>:</w:t>
      </w:r>
    </w:p>
    <w:p>
      <w:pPr>
        <w:pStyle w:val="ListBullet"/>
        <w:spacing w:before="30" w:after="30" w:line="276" w:lineRule="auto"/>
      </w:pPr>
      <w:r>
        <w:rPr>
          <w:rFonts w:ascii="Calibri" w:hAnsi="Calibri"/>
          <w:color w:val="2C3E50"/>
          <w:sz w:val="21"/>
        </w:rPr>
        <w:t>*Testo*: "La Repubblica promuove lo sviluppo della cultura e la ricerca scientifica e tecnica. Tutela il paesaggio e il patrimonio storico e artistico della Nazione." Con la riforma costituzionale del 2022 (L. Cost. 1/2022) è stato aggiunto il comma: "Tutela l'ambiente, la biodiversità e gli ecosistemi, anche nell'interesse delle future generazioni...".</w:t>
      </w:r>
    </w:p>
    <w:p>
      <w:pPr>
        <w:pStyle w:val="ListBullet"/>
        <w:spacing w:before="30" w:after="30" w:line="276" w:lineRule="auto"/>
      </w:pPr>
      <w:r>
        <w:rPr>
          <w:rFonts w:ascii="Calibri" w:hAnsi="Calibri"/>
          <w:color w:val="2C3E50"/>
          <w:sz w:val="21"/>
        </w:rPr>
        <w:t>*Rilevanza per il turismo*: È il fondamento assoluto del turismo culturale ed ecologico. La valorizzazione turistica è legittima in quanto sia strumento per attuare l'art. 9, ossia diffondere la cultura salvaguardando il patrimonio e l'ambiente per i posteri.</w:t>
      </w:r>
    </w:p>
    <w:p>
      <w:pPr>
        <w:pStyle w:val="ListBullet"/>
        <w:spacing w:before="30" w:after="30" w:line="276" w:lineRule="auto"/>
      </w:pPr>
      <w:r>
        <w:rPr>
          <w:rFonts w:ascii="Calibri" w:hAnsi="Calibri"/>
          <w:color w:val="2C3E50"/>
          <w:sz w:val="21"/>
        </w:rPr>
      </w:r>
      <w:r>
        <w:rPr>
          <w:rFonts w:ascii="Calibri" w:hAnsi="Calibri"/>
          <w:b/>
          <w:color w:val="2C3E50"/>
          <w:sz w:val="21"/>
        </w:rPr>
        <w:t>Articolo 16 (Libertà di circolazione e soggiorno)</w:t>
      </w:r>
      <w:r>
        <w:rPr>
          <w:rFonts w:ascii="Calibri" w:hAnsi="Calibri"/>
          <w:color w:val="2C3E50"/>
          <w:sz w:val="21"/>
        </w:rPr>
        <w:t>:</w:t>
      </w:r>
    </w:p>
    <w:p>
      <w:pPr>
        <w:pStyle w:val="ListBullet"/>
        <w:spacing w:before="30" w:after="30" w:line="276" w:lineRule="auto"/>
      </w:pPr>
      <w:r>
        <w:rPr>
          <w:rFonts w:ascii="Calibri" w:hAnsi="Calibri"/>
          <w:color w:val="2C3E50"/>
          <w:sz w:val="21"/>
        </w:rPr>
        <w:t>*Testo*: "Ogni cittadino può circolare e soggiornare liberamente in qualsiasi parte del territorio nazionale...".</w:t>
      </w:r>
    </w:p>
    <w:p>
      <w:pPr>
        <w:pStyle w:val="ListBullet"/>
        <w:spacing w:before="30" w:after="30" w:line="276" w:lineRule="auto"/>
      </w:pPr>
      <w:r>
        <w:rPr>
          <w:rFonts w:ascii="Calibri" w:hAnsi="Calibri"/>
          <w:color w:val="2C3E50"/>
          <w:sz w:val="21"/>
        </w:rPr>
        <w:t>*Rilevanza*: Rappresenta la condizione giuridica materiale del turismo interno e dell'ospitalità; vieta ogni dazio, pedaggio interno o barriera alla mobilità interregionale.</w:t>
      </w:r>
    </w:p>
    <w:p>
      <w:pPr>
        <w:pStyle w:val="ListBullet"/>
        <w:spacing w:before="30" w:after="30" w:line="276" w:lineRule="auto"/>
      </w:pPr>
      <w:r>
        <w:rPr>
          <w:rFonts w:ascii="Calibri" w:hAnsi="Calibri"/>
          <w:color w:val="2C3E50"/>
          <w:sz w:val="21"/>
        </w:rPr>
      </w:r>
      <w:r>
        <w:rPr>
          <w:rFonts w:ascii="Calibri" w:hAnsi="Calibri"/>
          <w:b/>
          <w:color w:val="2C3E50"/>
          <w:sz w:val="21"/>
        </w:rPr>
        <w:t>Articolo 32 (Tutela della salute)</w:t>
      </w:r>
      <w:r>
        <w:rPr>
          <w:rFonts w:ascii="Calibri" w:hAnsi="Calibri"/>
          <w:color w:val="2C3E50"/>
          <w:sz w:val="21"/>
        </w:rPr>
        <w:t>:</w:t>
      </w:r>
    </w:p>
    <w:p>
      <w:pPr>
        <w:pStyle w:val="ListBullet"/>
        <w:spacing w:before="30" w:after="30" w:line="276" w:lineRule="auto"/>
      </w:pPr>
      <w:r>
        <w:rPr>
          <w:rFonts w:ascii="Calibri" w:hAnsi="Calibri"/>
          <w:color w:val="2C3E50"/>
          <w:sz w:val="21"/>
        </w:rPr>
        <w:t>*Testo*: "La Repubblica tutela la salute come fondamentale diritto dell'individuo e interesse della collettività...".</w:t>
      </w:r>
    </w:p>
    <w:p>
      <w:pPr>
        <w:pStyle w:val="ListBullet"/>
        <w:spacing w:before="30" w:after="30" w:line="276" w:lineRule="auto"/>
      </w:pPr>
      <w:r>
        <w:rPr>
          <w:rFonts w:ascii="Calibri" w:hAnsi="Calibri"/>
          <w:color w:val="2C3E50"/>
          <w:sz w:val="21"/>
        </w:rPr>
        <w:t>*Rilevanza*: Fondamento normativo del turismo del benessere, del termalismo terapeutico e della sicurezza igienico-sanitaria nei viaggi e nelle strutture ricettive.</w:t>
      </w:r>
    </w:p>
    <w:p>
      <w:pPr>
        <w:pStyle w:val="ListBullet"/>
        <w:spacing w:before="30" w:after="30" w:line="276" w:lineRule="auto"/>
      </w:pPr>
      <w:r>
        <w:rPr>
          <w:rFonts w:ascii="Calibri" w:hAnsi="Calibri"/>
          <w:color w:val="2C3E50"/>
          <w:sz w:val="21"/>
        </w:rPr>
      </w:r>
      <w:r>
        <w:rPr>
          <w:rFonts w:ascii="Calibri" w:hAnsi="Calibri"/>
          <w:b/>
          <w:color w:val="2C3E50"/>
          <w:sz w:val="21"/>
        </w:rPr>
        <w:t>Articolo 36 (Diritto al riposo e alle ferie)</w:t>
      </w:r>
      <w:r>
        <w:rPr>
          <w:rFonts w:ascii="Calibri" w:hAnsi="Calibri"/>
          <w:color w:val="2C3E50"/>
          <w:sz w:val="21"/>
        </w:rPr>
        <w:t>:</w:t>
      </w:r>
    </w:p>
    <w:p>
      <w:pPr>
        <w:pStyle w:val="ListBullet"/>
        <w:spacing w:before="30" w:after="30" w:line="276" w:lineRule="auto"/>
      </w:pPr>
      <w:r>
        <w:rPr>
          <w:rFonts w:ascii="Calibri" w:hAnsi="Calibri"/>
          <w:color w:val="2C3E50"/>
          <w:sz w:val="21"/>
        </w:rPr>
        <w:t>*Testo*: "Il lavoratore ha diritto al riposo settimanale e a ferie annuali retribuite, e non può rinunziarvi."</w:t>
      </w:r>
    </w:p>
    <w:p>
      <w:pPr>
        <w:pStyle w:val="ListBullet"/>
        <w:spacing w:before="30" w:after="30" w:line="276" w:lineRule="auto"/>
      </w:pPr>
      <w:r>
        <w:rPr>
          <w:rFonts w:ascii="Calibri" w:hAnsi="Calibri"/>
          <w:color w:val="2C3E50"/>
          <w:sz w:val="21"/>
        </w:rPr>
        <w:t>*Rilevanza*: È il presupposto sociale del turismo moderno (il "turismo sociale" e il tempo libero non come lusso, ma come diritto legato al pieno sviluppo della persona umana ex art. 3 Cost.).</w:t>
      </w:r>
    </w:p>
    <w:p>
      <w:pPr>
        <w:pStyle w:val="ListBullet"/>
        <w:spacing w:before="30" w:after="30" w:line="276" w:lineRule="auto"/>
      </w:pPr>
      <w:r>
        <w:rPr>
          <w:rFonts w:ascii="Calibri" w:hAnsi="Calibri"/>
          <w:color w:val="2C3E50"/>
          <w:sz w:val="21"/>
        </w:rPr>
      </w:r>
      <w:r>
        <w:rPr>
          <w:rFonts w:ascii="Calibri" w:hAnsi="Calibri"/>
          <w:b/>
          <w:color w:val="2C3E50"/>
          <w:sz w:val="21"/>
        </w:rPr>
        <w:t>Articolo 41 (Libertà di iniziativa economica privata)</w:t>
      </w:r>
      <w:r>
        <w:rPr>
          <w:rFonts w:ascii="Calibri" w:hAnsi="Calibri"/>
          <w:color w:val="2C3E50"/>
          <w:sz w:val="21"/>
        </w:rPr>
        <w:t>:</w:t>
      </w:r>
    </w:p>
    <w:p>
      <w:pPr>
        <w:pStyle w:val="ListBullet"/>
        <w:spacing w:before="30" w:after="30" w:line="276" w:lineRule="auto"/>
      </w:pPr>
      <w:r>
        <w:rPr>
          <w:rFonts w:ascii="Calibri" w:hAnsi="Calibri"/>
          <w:color w:val="2C3E50"/>
          <w:sz w:val="21"/>
        </w:rPr>
        <w:t>*Testo*: "L'iniziativa economica privata è libera. Non può svolgersi in contrasto con l'utilità sociale o in modo da recare danno alla sicurezza, alla libertà, alla dignità umana, alla salute, all'ambiente."</w:t>
      </w:r>
    </w:p>
    <w:p>
      <w:pPr>
        <w:pStyle w:val="ListBullet"/>
        <w:spacing w:before="30" w:after="30" w:line="276" w:lineRule="auto"/>
      </w:pPr>
      <w:r>
        <w:rPr>
          <w:rFonts w:ascii="Calibri" w:hAnsi="Calibri"/>
          <w:color w:val="2C3E50"/>
          <w:sz w:val="21"/>
        </w:rPr>
        <w:t>*Rilevanza*: Base costituzionale dell'imprenditoria turistica, delle agenzie e delle guide; l'attività economica turistica deve coordinarsi con la sostenibilità ambientale e la tutela del territorio.</w:t>
      </w:r>
    </w:p>
    <w:p>
      <w:pPr>
        <w:pStyle w:val="ListBullet"/>
        <w:spacing w:before="30" w:after="30" w:line="276" w:lineRule="auto"/>
      </w:pPr>
      <w:r>
        <w:rPr>
          <w:rFonts w:ascii="Calibri" w:hAnsi="Calibri"/>
          <w:color w:val="2C3E50"/>
          <w:sz w:val="21"/>
        </w:rPr>
      </w:r>
      <w:r>
        <w:rPr>
          <w:rFonts w:ascii="Calibri" w:hAnsi="Calibri"/>
          <w:b/>
          <w:color w:val="2C3E50"/>
          <w:sz w:val="21"/>
        </w:rPr>
        <w:t>Articolo 117 (Il Riparto di Competenze Legislative tra Stato e Regioni post Riforma del 2001)</w:t>
      </w:r>
      <w:r>
        <w:rPr>
          <w:rFonts w:ascii="Calibri" w:hAnsi="Calibri"/>
          <w:color w:val="2C3E50"/>
          <w:sz w:val="21"/>
        </w:rPr>
        <w:t>:</w:t>
      </w:r>
    </w:p>
    <w:p>
      <w:pPr>
        <w:pStyle w:val="ListBullet"/>
        <w:spacing w:before="30" w:after="30" w:line="276" w:lineRule="auto"/>
      </w:pPr>
      <w:r>
        <w:rPr>
          <w:rFonts w:ascii="Calibri" w:hAnsi="Calibri"/>
          <w:color w:val="2C3E50"/>
          <w:sz w:val="21"/>
        </w:rPr>
        <w:t xml:space="preserve">*Competenza Regionale Residuale (Comma 4)*: Poiché la materia "turismo" non compare né nell'elenco della legislazione esclusiva statale (comma 2) né in quella concorrente (comma 3), il turismo appartiene alla </w:t>
      </w:r>
      <w:r>
        <w:rPr>
          <w:rFonts w:ascii="Calibri" w:hAnsi="Calibri"/>
          <w:b/>
          <w:color w:val="2C3E50"/>
          <w:sz w:val="21"/>
        </w:rPr>
        <w:t>competenza legislativa residuale ed esclusiva delle Regioni</w:t>
      </w:r>
      <w:r>
        <w:rPr>
          <w:rFonts w:ascii="Calibri" w:hAnsi="Calibri"/>
          <w:color w:val="2C3E50"/>
          <w:sz w:val="21"/>
        </w:rPr>
        <w:t>.</w:t>
      </w:r>
    </w:p>
    <w:p>
      <w:pPr>
        <w:pStyle w:val="ListBullet"/>
        <w:spacing w:before="30" w:after="30" w:line="276" w:lineRule="auto"/>
      </w:pPr>
      <w:r>
        <w:rPr>
          <w:rFonts w:ascii="Calibri" w:hAnsi="Calibri"/>
          <w:color w:val="2C3E50"/>
          <w:sz w:val="21"/>
        </w:rPr>
        <w:t>*Le Competenze Trasversali Statali che incidono sul Turismo*:</w:t>
      </w:r>
    </w:p>
    <w:p>
      <w:pPr>
        <w:pStyle w:val="ListNumber"/>
        <w:spacing w:before="30" w:after="30" w:line="276" w:lineRule="auto"/>
      </w:pPr>
      <w:r>
        <w:rPr>
          <w:rFonts w:ascii="Calibri" w:hAnsi="Calibri"/>
          <w:color w:val="2C3E50"/>
          <w:sz w:val="21"/>
        </w:rPr>
        <w:t xml:space="preserve">*Art. 117, c. 2, lett. e*: </w:t>
      </w:r>
      <w:r>
        <w:rPr>
          <w:rFonts w:ascii="Calibri" w:hAnsi="Calibri"/>
          <w:b/>
          <w:color w:val="2C3E50"/>
          <w:sz w:val="21"/>
        </w:rPr>
        <w:t>Tutela della concorrenza</w:t>
      </w:r>
      <w:r>
        <w:rPr>
          <w:rFonts w:ascii="Calibri" w:hAnsi="Calibri"/>
          <w:color w:val="2C3E50"/>
          <w:sz w:val="21"/>
        </w:rPr>
        <w:t xml:space="preserve"> (es. disciplina dei mercati, requisiti di accesso alle attività economiche);</w:t>
      </w:r>
    </w:p>
    <w:p>
      <w:pPr>
        <w:pStyle w:val="ListNumber"/>
        <w:spacing w:before="30" w:after="30" w:line="276" w:lineRule="auto"/>
      </w:pPr>
      <w:r>
        <w:rPr>
          <w:rFonts w:ascii="Calibri" w:hAnsi="Calibri"/>
          <w:color w:val="2C3E50"/>
          <w:sz w:val="21"/>
        </w:rPr>
        <w:t xml:space="preserve">*Art. 117, c. 2, lett. l*: </w:t>
      </w:r>
      <w:r>
        <w:rPr>
          <w:rFonts w:ascii="Calibri" w:hAnsi="Calibri"/>
          <w:b/>
          <w:color w:val="2C3E50"/>
          <w:sz w:val="21"/>
        </w:rPr>
        <w:t>Ordinamento civile e penale</w:t>
      </w:r>
      <w:r>
        <w:rPr>
          <w:rFonts w:ascii="Calibri" w:hAnsi="Calibri"/>
          <w:color w:val="2C3E50"/>
          <w:sz w:val="21"/>
        </w:rPr>
        <w:t xml:space="preserve"> (disciplina dei contratti turistici, pacchetti, responsabilità civile);</w:t>
      </w:r>
    </w:p>
    <w:p>
      <w:pPr>
        <w:pStyle w:val="ListNumber"/>
        <w:spacing w:before="30" w:after="30" w:line="276" w:lineRule="auto"/>
      </w:pPr>
      <w:r>
        <w:rPr>
          <w:rFonts w:ascii="Calibri" w:hAnsi="Calibri"/>
          <w:color w:val="2C3E50"/>
          <w:sz w:val="21"/>
        </w:rPr>
        <w:t xml:space="preserve">*Art. 117, c. 2, lett. m*: </w:t>
      </w:r>
      <w:r>
        <w:rPr>
          <w:rFonts w:ascii="Calibri" w:hAnsi="Calibri"/>
          <w:b/>
          <w:color w:val="2C3E50"/>
          <w:sz w:val="21"/>
        </w:rPr>
        <w:t>Determinazione dei Livelli Essenziali delle Prestazioni (LEP)</w:t>
      </w:r>
      <w:r>
        <w:rPr>
          <w:rFonts w:ascii="Calibri" w:hAnsi="Calibri"/>
          <w:color w:val="2C3E50"/>
          <w:sz w:val="21"/>
        </w:rPr>
        <w:t xml:space="preserve"> civili e sociali;</w:t>
      </w:r>
    </w:p>
    <w:p>
      <w:pPr>
        <w:pStyle w:val="ListNumber"/>
        <w:spacing w:before="30" w:after="30" w:line="276" w:lineRule="auto"/>
      </w:pPr>
      <w:r>
        <w:rPr>
          <w:rFonts w:ascii="Calibri" w:hAnsi="Calibri"/>
          <w:color w:val="2C3E50"/>
          <w:sz w:val="21"/>
        </w:rPr>
        <w:t xml:space="preserve">*Art. 117, c. 2, lett. s*: </w:t>
      </w:r>
      <w:r>
        <w:rPr>
          <w:rFonts w:ascii="Calibri" w:hAnsi="Calibri"/>
          <w:b/>
          <w:color w:val="2C3E50"/>
          <w:sz w:val="21"/>
        </w:rPr>
        <w:t>Tutela dell'ambiente e dei beni culturali</w:t>
      </w:r>
      <w:r>
        <w:rPr>
          <w:rFonts w:ascii="Calibri" w:hAnsi="Calibri"/>
          <w:color w:val="2C3E50"/>
          <w:sz w:val="21"/>
        </w:rPr>
        <w:t xml:space="preserve"> (esclusiva statale);</w:t>
      </w:r>
    </w:p>
    <w:p>
      <w:pPr>
        <w:pStyle w:val="ListNumber"/>
        <w:spacing w:before="30" w:after="30" w:line="276" w:lineRule="auto"/>
      </w:pPr>
      <w:r>
        <w:rPr>
          <w:rFonts w:ascii="Calibri" w:hAnsi="Calibri"/>
          <w:color w:val="2C3E50"/>
          <w:sz w:val="21"/>
        </w:rPr>
        <w:t xml:space="preserve">*Art. 117, c. 3*: </w:t>
      </w:r>
      <w:r>
        <w:rPr>
          <w:rFonts w:ascii="Calibri" w:hAnsi="Calibri"/>
          <w:b/>
          <w:color w:val="2C3E50"/>
          <w:sz w:val="21"/>
        </w:rPr>
        <w:t>Professioni</w:t>
      </w:r>
      <w:r>
        <w:rPr>
          <w:rFonts w:ascii="Calibri" w:hAnsi="Calibri"/>
          <w:color w:val="2C3E50"/>
          <w:sz w:val="21"/>
        </w:rPr>
        <w:t xml:space="preserve"> (materia concorrente: allo Stato spetta la determinazione dei principi fondamentali - come fatto con la L. 190/2023 - alle Regioni la disciplina di dettaglio);</w:t>
      </w:r>
    </w:p>
    <w:p>
      <w:pPr>
        <w:pStyle w:val="ListNumber"/>
        <w:spacing w:before="30" w:after="30" w:line="276" w:lineRule="auto"/>
      </w:pPr>
      <w:r>
        <w:rPr>
          <w:rFonts w:ascii="Calibri" w:hAnsi="Calibri"/>
          <w:color w:val="2C3E50"/>
          <w:sz w:val="21"/>
        </w:rPr>
        <w:t xml:space="preserve">*Art. 117, c. 3*: </w:t>
      </w:r>
      <w:r>
        <w:rPr>
          <w:rFonts w:ascii="Calibri" w:hAnsi="Calibri"/>
          <w:b/>
          <w:color w:val="2C3E50"/>
          <w:sz w:val="21"/>
        </w:rPr>
        <w:t>Valorizzazione dei beni culturali</w:t>
      </w:r>
      <w:r>
        <w:rPr>
          <w:rFonts w:ascii="Calibri" w:hAnsi="Calibri"/>
          <w:color w:val="2C3E50"/>
          <w:sz w:val="21"/>
        </w:rPr>
        <w:t xml:space="preserve"> (concorrente Stato-Regioni).</w:t>
      </w:r>
    </w:p>
    <w:p>
      <w:pPr>
        <w:keepNext/>
        <w:spacing w:before="200" w:after="60"/>
      </w:pPr>
      <w:r>
        <w:rPr>
          <w:rFonts w:ascii="Calibri" w:hAnsi="Calibri"/>
          <w:b/>
          <w:color w:val="2980B9"/>
          <w:sz w:val="23"/>
        </w:rPr>
        <w:t>4.2 L'Azione dell'Unione Europea in Materia di Turismo</w:t>
      </w:r>
    </w:p>
    <w:p>
      <w:pPr>
        <w:pStyle w:val="ListBullet"/>
        <w:spacing w:before="30" w:after="30" w:line="276" w:lineRule="auto"/>
      </w:pPr>
      <w:r>
        <w:rPr>
          <w:rFonts w:ascii="Calibri" w:hAnsi="Calibri"/>
          <w:color w:val="2C3E50"/>
          <w:sz w:val="21"/>
        </w:rPr>
      </w:r>
      <w:r>
        <w:rPr>
          <w:rFonts w:ascii="Calibri" w:hAnsi="Calibri"/>
          <w:b/>
          <w:color w:val="2C3E50"/>
          <w:sz w:val="21"/>
        </w:rPr>
        <w:t>Trattato di Lisbona e Art. 195 TFUE</w:t>
      </w:r>
      <w:r>
        <w:rPr>
          <w:rFonts w:ascii="Calibri" w:hAnsi="Calibri"/>
          <w:color w:val="2C3E50"/>
          <w:sz w:val="21"/>
        </w:rPr>
        <w:t>:</w:t>
      </w:r>
    </w:p>
    <w:p>
      <w:pPr>
        <w:pStyle w:val="ListBullet"/>
        <w:spacing w:before="30" w:after="30" w:line="276" w:lineRule="auto"/>
      </w:pPr>
      <w:r>
        <w:rPr>
          <w:rFonts w:ascii="Calibri" w:hAnsi="Calibri"/>
          <w:color w:val="2C3E50"/>
          <w:sz w:val="21"/>
        </w:rPr>
        <w:t xml:space="preserve">Il Trattato di Lisbona (2009) ha introdotto per la prima volta una base giuridica esplicita per il turismo. L'Unione Europea esercita una </w:t>
      </w:r>
      <w:r>
        <w:rPr>
          <w:rFonts w:ascii="Calibri" w:hAnsi="Calibri"/>
          <w:b/>
          <w:color w:val="2C3E50"/>
          <w:sz w:val="21"/>
        </w:rPr>
        <w:t>competenza di sostegno, coordinamento e completamento</w:t>
      </w:r>
      <w:r>
        <w:rPr>
          <w:rFonts w:ascii="Calibri" w:hAnsi="Calibri"/>
          <w:color w:val="2C3E50"/>
          <w:sz w:val="21"/>
        </w:rPr>
        <w:t xml:space="preserve"> (non esclusiva né concorrente con effetto di armonizzazione).</w:t>
      </w:r>
    </w:p>
    <w:p>
      <w:pPr>
        <w:pStyle w:val="ListBullet"/>
        <w:spacing w:before="30" w:after="30" w:line="276" w:lineRule="auto"/>
      </w:pPr>
      <w:r>
        <w:rPr>
          <w:rFonts w:ascii="Calibri" w:hAnsi="Calibri"/>
          <w:color w:val="2C3E50"/>
          <w:sz w:val="21"/>
        </w:rPr>
        <w:t>*Art. 195 TFUE*: L'UE incoraggia la competitività delle imprese turistiche europee, promuove la cooperazione tra Stati membri e sostiene lo scambio di buone pratiche, escludendo l'armonizzazione forzata delle leggi nazionali.</w:t>
      </w:r>
    </w:p>
    <w:p>
      <w:pPr>
        <w:pStyle w:val="ListBullet"/>
        <w:spacing w:before="30" w:after="30" w:line="276" w:lineRule="auto"/>
      </w:pPr>
      <w:r>
        <w:rPr>
          <w:rFonts w:ascii="Calibri" w:hAnsi="Calibri"/>
          <w:color w:val="2C3E50"/>
          <w:sz w:val="21"/>
        </w:rPr>
      </w:r>
      <w:r>
        <w:rPr>
          <w:rFonts w:ascii="Calibri" w:hAnsi="Calibri"/>
          <w:b/>
          <w:color w:val="2C3E50"/>
          <w:sz w:val="21"/>
        </w:rPr>
        <w:t>Le Libertà Fondamentali del Mercato Unico</w:t>
      </w:r>
      <w:r>
        <w:rPr>
          <w:rFonts w:ascii="Calibri" w:hAnsi="Calibri"/>
          <w:color w:val="2C3E50"/>
          <w:sz w:val="21"/>
        </w:rPr>
        <w:t>:</w:t>
      </w:r>
    </w:p>
    <w:p>
      <w:pPr>
        <w:pStyle w:val="ListBullet"/>
        <w:spacing w:before="30" w:after="30" w:line="276" w:lineRule="auto"/>
      </w:pPr>
      <w:r>
        <w:rPr>
          <w:rFonts w:ascii="Calibri" w:hAnsi="Calibri"/>
          <w:color w:val="2C3E50"/>
          <w:sz w:val="21"/>
        </w:rPr>
        <w:t>*Libera prestazione di servizi (Art. 56 TFUE)* e *Libertà di stabilimento (Art. 49 TFUE)*.</w:t>
      </w:r>
    </w:p>
    <w:p>
      <w:pPr>
        <w:pStyle w:val="ListBullet"/>
        <w:spacing w:before="30" w:after="30" w:line="276" w:lineRule="auto"/>
      </w:pPr>
      <w:r>
        <w:rPr>
          <w:rFonts w:ascii="Calibri" w:hAnsi="Calibri"/>
          <w:color w:val="2C3E50"/>
          <w:sz w:val="21"/>
        </w:rPr>
        <w:t>*Direttiva Bolkestein (2006/123/CE sui servizi nel mercato interno)*: Vieta regimi autorizzatori ingiustificati o discriminatori, salvo che ricorrano "motivi imperativi di interesse generale" (tra cui la Corte di Giustizia UE riconosce la tutela del patrimonio storico-artistico nazionale).</w:t>
      </w:r>
    </w:p>
    <w:p>
      <w:pPr>
        <w:pStyle w:val="ListBullet"/>
        <w:spacing w:before="30" w:after="30" w:line="276" w:lineRule="auto"/>
      </w:pPr>
      <w:r>
        <w:rPr>
          <w:rFonts w:ascii="Calibri" w:hAnsi="Calibri"/>
          <w:color w:val="2C3E50"/>
          <w:sz w:val="21"/>
        </w:rPr>
        <w:t>*Direttiva Qualifiche Professionali (2005/36/CE e 2013/55/UE)*: Regola il riconoscimento reciproco dei titoli professionali e la tessera professionale europea (EPC).</w:t>
      </w:r>
    </w:p>
    <w:p>
      <w:pPr>
        <w:pStyle w:val="ListBullet"/>
        <w:spacing w:before="30" w:after="30" w:line="276" w:lineRule="auto"/>
      </w:pPr>
      <w:r>
        <w:rPr>
          <w:rFonts w:ascii="Calibri" w:hAnsi="Calibri"/>
          <w:color w:val="2C3E50"/>
          <w:sz w:val="21"/>
        </w:rPr>
      </w:r>
      <w:r>
        <w:rPr>
          <w:rFonts w:ascii="Calibri" w:hAnsi="Calibri"/>
          <w:b/>
          <w:color w:val="2C3E50"/>
          <w:sz w:val="21"/>
        </w:rPr>
        <w:t>Iniziative Europee di Sostenibilità e Qualità Turistica</w:t>
      </w:r>
      <w:r>
        <w:rPr>
          <w:rFonts w:ascii="Calibri" w:hAnsi="Calibri"/>
          <w:color w:val="2C3E50"/>
          <w:sz w:val="21"/>
        </w:rPr>
        <w:t>:</w:t>
      </w:r>
    </w:p>
    <w:p>
      <w:pPr>
        <w:pStyle w:val="ListBullet"/>
        <w:spacing w:before="30" w:after="30" w:line="276" w:lineRule="auto"/>
      </w:pPr>
      <w:r>
        <w:rPr>
          <w:rFonts w:ascii="Calibri" w:hAnsi="Calibri"/>
          <w:color w:val="2C3E50"/>
          <w:sz w:val="21"/>
        </w:rPr>
        <w:t>*Marchio EDEN (European Destinations of Excellence)*: Valorizzazione di mete emergenti e sostenibili;</w:t>
      </w:r>
    </w:p>
    <w:p>
      <w:pPr>
        <w:pStyle w:val="ListBullet"/>
        <w:spacing w:before="30" w:after="30" w:line="276" w:lineRule="auto"/>
      </w:pPr>
      <w:r>
        <w:rPr>
          <w:rFonts w:ascii="Calibri" w:hAnsi="Calibri"/>
          <w:color w:val="2C3E50"/>
          <w:sz w:val="21"/>
        </w:rPr>
        <w:t>*Ecolabel UE*: Certificazione di qualità ecologica per strutture turistico-ricettive;</w:t>
      </w:r>
    </w:p>
    <w:p>
      <w:pPr>
        <w:pStyle w:val="ListBullet"/>
        <w:spacing w:before="30" w:after="30" w:line="276" w:lineRule="auto"/>
      </w:pPr>
      <w:r>
        <w:rPr>
          <w:rFonts w:ascii="Calibri" w:hAnsi="Calibri"/>
          <w:color w:val="2C3E50"/>
          <w:sz w:val="21"/>
        </w:rPr>
        <w:t>*Tourism Transition Pathway (Transizione Gemella)*: Strategia UE per la digitalizzazione e decarbonizzazione della filiera turistica entro il 2030.</w:t>
      </w:r>
    </w:p>
    <w:p>
      <w:pPr>
        <w:keepNext/>
        <w:spacing w:before="280" w:after="80"/>
      </w:pPr>
      <w:r>
        <w:rPr>
          <w:rFonts w:ascii="Calibri" w:hAnsi="Calibri"/>
          <w:b/>
          <w:color w:val="1A56A0"/>
          <w:sz w:val="28"/>
        </w:rPr>
        <w:t>5. MISSIONE E FUNZIONI DEL MINISTERO DEL TURISMO</w:t>
      </w:r>
    </w:p>
    <w:p>
      <w:pPr>
        <w:spacing w:before="40" w:after="60" w:line="276" w:lineRule="auto"/>
      </w:pPr>
      <w:r>
        <w:rPr>
          <w:rFonts w:ascii="Calibri" w:hAnsi="Calibri"/>
          <w:color w:val="2C3E50"/>
          <w:sz w:val="21"/>
        </w:rPr>
      </w:r>
      <w:r>
        <w:rPr>
          <w:rFonts w:ascii="Calibri" w:hAnsi="Calibri"/>
          <w:b/>
          <w:color w:val="2C3E50"/>
          <w:sz w:val="21"/>
        </w:rPr>
        <w:t>Fonti primarie</w:t>
      </w:r>
      <w:r>
        <w:rPr>
          <w:rFonts w:ascii="Calibri" w:hAnsi="Calibri"/>
          <w:color w:val="2C3E50"/>
          <w:sz w:val="21"/>
        </w:rPr>
        <w:t>: D.L. 1° marzo 2021, n. 22 convertito nella Legge 22 aprile 2021, n. 55; D.P.C.M. 30 ottobre 2023, n. 177 (Regolamento di organizzazione).</w:t>
      </w:r>
    </w:p>
    <w:p>
      <w:pPr>
        <w:keepNext/>
        <w:spacing w:before="200" w:after="60"/>
      </w:pPr>
      <w:r>
        <w:rPr>
          <w:rFonts w:ascii="Calibri" w:hAnsi="Calibri"/>
          <w:b/>
          <w:color w:val="2980B9"/>
          <w:sz w:val="23"/>
        </w:rPr>
        <w:t>5.1 Genesi e Missione Istituzionale</w:t>
      </w:r>
    </w:p>
    <w:p>
      <w:pPr>
        <w:pStyle w:val="ListBullet"/>
        <w:spacing w:before="30" w:after="30" w:line="276" w:lineRule="auto"/>
      </w:pPr>
      <w:r>
        <w:rPr>
          <w:rFonts w:ascii="Calibri" w:hAnsi="Calibri"/>
          <w:color w:val="2C3E50"/>
          <w:sz w:val="21"/>
        </w:rPr>
      </w:r>
      <w:r>
        <w:rPr>
          <w:rFonts w:ascii="Calibri" w:hAnsi="Calibri"/>
          <w:b/>
          <w:color w:val="2C3E50"/>
          <w:sz w:val="21"/>
        </w:rPr>
        <w:t>Dalla fusione allo scorporo</w:t>
      </w:r>
      <w:r>
        <w:rPr>
          <w:rFonts w:ascii="Calibri" w:hAnsi="Calibri"/>
          <w:color w:val="2C3E50"/>
          <w:sz w:val="21"/>
        </w:rPr>
        <w:t>:</w:t>
      </w:r>
    </w:p>
    <w:p>
      <w:pPr>
        <w:pStyle w:val="ListBullet"/>
        <w:spacing w:before="30" w:after="30" w:line="276" w:lineRule="auto"/>
      </w:pPr>
      <w:r>
        <w:rPr>
          <w:rFonts w:ascii="Calibri" w:hAnsi="Calibri"/>
          <w:color w:val="2C3E50"/>
          <w:sz w:val="21"/>
        </w:rPr>
        <w:t>Tradizionalmente legato alle attività produttive o ai beni culturali (MiBACT), il settore turistico è stato scorporato nel 2021 per ridare dignità strategica a un comparto che genera circa il 13% del PIL italiano.</w:t>
      </w:r>
    </w:p>
    <w:p>
      <w:pPr>
        <w:pStyle w:val="ListBullet"/>
        <w:spacing w:before="30" w:after="30" w:line="276" w:lineRule="auto"/>
      </w:pPr>
      <w:r>
        <w:rPr>
          <w:rFonts w:ascii="Calibri" w:hAnsi="Calibri"/>
          <w:color w:val="2C3E50"/>
          <w:sz w:val="21"/>
        </w:rPr>
        <w:t xml:space="preserve">La </w:t>
      </w:r>
      <w:r>
        <w:rPr>
          <w:rFonts w:ascii="Calibri" w:hAnsi="Calibri"/>
          <w:b/>
          <w:color w:val="2C3E50"/>
          <w:sz w:val="21"/>
        </w:rPr>
        <w:t>Legge 55/2021</w:t>
      </w:r>
      <w:r>
        <w:rPr>
          <w:rFonts w:ascii="Calibri" w:hAnsi="Calibri"/>
          <w:color w:val="2C3E50"/>
          <w:sz w:val="21"/>
        </w:rPr>
        <w:t xml:space="preserve"> istituisce il </w:t>
      </w:r>
      <w:r>
        <w:rPr>
          <w:rFonts w:ascii="Calibri" w:hAnsi="Calibri"/>
          <w:b/>
          <w:color w:val="2C3E50"/>
          <w:sz w:val="21"/>
        </w:rPr>
        <w:t>Ministero del Turismo con portafoglio</w:t>
      </w:r>
      <w:r>
        <w:rPr>
          <w:rFonts w:ascii="Calibri" w:hAnsi="Calibri"/>
          <w:color w:val="2C3E50"/>
          <w:sz w:val="21"/>
        </w:rPr>
        <w:t>, con sede a Roma.</w:t>
      </w:r>
    </w:p>
    <w:p>
      <w:pPr>
        <w:pStyle w:val="ListBullet"/>
        <w:spacing w:before="30" w:after="30" w:line="276" w:lineRule="auto"/>
      </w:pPr>
      <w:r>
        <w:rPr>
          <w:rFonts w:ascii="Calibri" w:hAnsi="Calibri"/>
          <w:color w:val="2C3E50"/>
          <w:sz w:val="21"/>
        </w:rPr>
      </w:r>
      <w:r>
        <w:rPr>
          <w:rFonts w:ascii="Calibri" w:hAnsi="Calibri"/>
          <w:b/>
          <w:color w:val="2C3E50"/>
          <w:sz w:val="21"/>
        </w:rPr>
        <w:t>Competenze e mission</w:t>
      </w:r>
      <w:r>
        <w:rPr>
          <w:rFonts w:ascii="Calibri" w:hAnsi="Calibri"/>
          <w:color w:val="2C3E50"/>
          <w:sz w:val="21"/>
        </w:rPr>
        <w:t>:</w:t>
      </w:r>
    </w:p>
    <w:p>
      <w:pPr>
        <w:pStyle w:val="ListBullet"/>
        <w:spacing w:before="30" w:after="30" w:line="276" w:lineRule="auto"/>
      </w:pPr>
      <w:r>
        <w:rPr>
          <w:rFonts w:ascii="Calibri" w:hAnsi="Calibri"/>
          <w:color w:val="2C3E50"/>
          <w:sz w:val="21"/>
        </w:rPr>
        <w:t>Elaborazione e attuazione delle politiche turistiche nazionali;</w:t>
      </w:r>
    </w:p>
    <w:p>
      <w:pPr>
        <w:pStyle w:val="ListBullet"/>
        <w:spacing w:before="30" w:after="30" w:line="276" w:lineRule="auto"/>
      </w:pPr>
      <w:r>
        <w:rPr>
          <w:rFonts w:ascii="Calibri" w:hAnsi="Calibri"/>
          <w:color w:val="2C3E50"/>
          <w:sz w:val="21"/>
        </w:rPr>
        <w:t>Coordinamento della programmazione strategica con le Regioni tramite la Conferenza Permanente Stato-Regioni;</w:t>
      </w:r>
    </w:p>
    <w:p>
      <w:pPr>
        <w:pStyle w:val="ListBullet"/>
        <w:spacing w:before="30" w:after="30" w:line="276" w:lineRule="auto"/>
      </w:pPr>
      <w:r>
        <w:rPr>
          <w:rFonts w:ascii="Calibri" w:hAnsi="Calibri"/>
          <w:color w:val="2C3E50"/>
          <w:sz w:val="21"/>
        </w:rPr>
        <w:t>Relazioni internazionali, multilaterali e con l'UE (rappresentanza all'OMT/UNWTO e nei consigli europei);</w:t>
      </w:r>
    </w:p>
    <w:p>
      <w:pPr>
        <w:pStyle w:val="ListBullet"/>
        <w:spacing w:before="30" w:after="30" w:line="276" w:lineRule="auto"/>
      </w:pPr>
      <w:r>
        <w:rPr>
          <w:rFonts w:ascii="Calibri" w:hAnsi="Calibri"/>
          <w:color w:val="2C3E50"/>
          <w:sz w:val="21"/>
        </w:rPr>
        <w:t>Promozione dell'offerta turistica italiana all'estero;</w:t>
      </w:r>
    </w:p>
    <w:p>
      <w:pPr>
        <w:pStyle w:val="ListBullet"/>
        <w:spacing w:before="30" w:after="30" w:line="276" w:lineRule="auto"/>
      </w:pPr>
      <w:r>
        <w:rPr>
          <w:rFonts w:ascii="Calibri" w:hAnsi="Calibri"/>
          <w:color w:val="2C3E50"/>
          <w:sz w:val="21"/>
        </w:rPr>
        <w:t>Gestione del Fondo Unico per il Turismo e attuazione degli interventi del PNRR dedicati al settore (es. transizione ecologica e digitale, Tourism Digital Hub - TDH);</w:t>
      </w:r>
    </w:p>
    <w:p>
      <w:pPr>
        <w:pStyle w:val="ListBullet"/>
        <w:spacing w:before="30" w:after="30" w:line="276" w:lineRule="auto"/>
      </w:pPr>
      <w:r>
        <w:rPr>
          <w:rFonts w:ascii="Calibri" w:hAnsi="Calibri"/>
          <w:color w:val="2C3E50"/>
          <w:sz w:val="21"/>
        </w:rPr>
        <w:t xml:space="preserve">Vigilanza su </w:t>
      </w:r>
      <w:r>
        <w:rPr>
          <w:rFonts w:ascii="Calibri" w:hAnsi="Calibri"/>
          <w:b/>
          <w:color w:val="2C3E50"/>
          <w:sz w:val="21"/>
        </w:rPr>
        <w:t>ENIT S.p.A.</w:t>
      </w:r>
      <w:r>
        <w:rPr>
          <w:rFonts w:ascii="Calibri" w:hAnsi="Calibri"/>
          <w:color w:val="2C3E50"/>
          <w:sz w:val="21"/>
        </w:rPr>
        <w:t xml:space="preserve"> (Agenzia Nazionale del Turismo, trasformata in società per azioni dal D.L. 75/2023) e sul </w:t>
      </w:r>
      <w:r>
        <w:rPr>
          <w:rFonts w:ascii="Calibri" w:hAnsi="Calibri"/>
          <w:b/>
          <w:color w:val="2C3E50"/>
          <w:sz w:val="21"/>
        </w:rPr>
        <w:t>Club Alpino Italiano (CAI)</w:t>
      </w:r>
      <w:r>
        <w:rPr>
          <w:rFonts w:ascii="Calibri" w:hAnsi="Calibri"/>
          <w:color w:val="2C3E50"/>
          <w:sz w:val="21"/>
        </w:rPr>
        <w:t>;</w:t>
      </w:r>
    </w:p>
    <w:p>
      <w:pPr>
        <w:pStyle w:val="ListBullet"/>
        <w:spacing w:before="30" w:after="30" w:line="276" w:lineRule="auto"/>
      </w:pPr>
      <w:r>
        <w:rPr>
          <w:rFonts w:ascii="Calibri" w:hAnsi="Calibri"/>
          <w:color w:val="2C3E50"/>
          <w:sz w:val="21"/>
        </w:rPr>
        <w:t>Tenuta e gestione dell'Elenco Nazionale delle Guide Turistiche e indizione degli esami abilitativi.</w:t>
      </w:r>
    </w:p>
    <w:p>
      <w:pPr>
        <w:keepNext/>
        <w:spacing w:before="200" w:after="60"/>
      </w:pPr>
      <w:r>
        <w:rPr>
          <w:rFonts w:ascii="Calibri" w:hAnsi="Calibri"/>
          <w:b/>
          <w:color w:val="2980B9"/>
          <w:sz w:val="23"/>
        </w:rPr>
        <w:t>5.2 Articolazione Organizzativa (D.P.C.M. 177/2023)</w:t>
      </w:r>
    </w:p>
    <w:p>
      <w:pPr>
        <w:spacing w:before="40" w:after="60" w:line="276" w:lineRule="auto"/>
      </w:pPr>
      <w:r>
        <w:rPr>
          <w:rFonts w:ascii="Calibri" w:hAnsi="Calibri"/>
          <w:color w:val="2C3E50"/>
          <w:sz w:val="21"/>
        </w:rPr>
        <w:t xml:space="preserve">Il Ministero si articola in un </w:t>
      </w:r>
      <w:r>
        <w:rPr>
          <w:rFonts w:ascii="Calibri" w:hAnsi="Calibri"/>
          <w:b/>
          <w:color w:val="2C3E50"/>
          <w:sz w:val="21"/>
        </w:rPr>
        <w:t>Segretariato Generale</w:t>
      </w:r>
      <w:r>
        <w:rPr>
          <w:rFonts w:ascii="Calibri" w:hAnsi="Calibri"/>
          <w:color w:val="2C3E50"/>
          <w:sz w:val="21"/>
        </w:rPr>
        <w:t xml:space="preserve"> e </w:t>
      </w:r>
      <w:r>
        <w:rPr>
          <w:rFonts w:ascii="Calibri" w:hAnsi="Calibri"/>
          <w:b/>
          <w:color w:val="2C3E50"/>
          <w:sz w:val="21"/>
        </w:rPr>
        <w:t>3 Direzioni Generali (DG)</w:t>
      </w:r>
      <w:r>
        <w:rPr>
          <w:rFonts w:ascii="Calibri" w:hAnsi="Calibri"/>
          <w:color w:val="2C3E50"/>
          <w:sz w:val="21"/>
        </w:rPr>
        <w:t>:</w:t>
      </w:r>
    </w:p>
    <w:p>
      <w:pPr>
        <w:pStyle w:val="ListNumber"/>
        <w:spacing w:before="30" w:after="30" w:line="276" w:lineRule="auto"/>
      </w:pPr>
      <w:r>
        <w:rPr>
          <w:rFonts w:ascii="Calibri" w:hAnsi="Calibri"/>
          <w:color w:val="2C3E50"/>
          <w:sz w:val="21"/>
        </w:rPr>
      </w:r>
      <w:r>
        <w:rPr>
          <w:rFonts w:ascii="Calibri" w:hAnsi="Calibri"/>
          <w:b/>
          <w:color w:val="2C3E50"/>
          <w:sz w:val="21"/>
        </w:rPr>
        <w:t>DG della Programmazione e delle Politiche del Turismo</w:t>
      </w:r>
      <w:r>
        <w:rPr>
          <w:rFonts w:ascii="Calibri" w:hAnsi="Calibri"/>
          <w:color w:val="2C3E50"/>
          <w:sz w:val="21"/>
        </w:rPr>
        <w:t>:</w:t>
      </w:r>
    </w:p>
    <w:p>
      <w:pPr>
        <w:pStyle w:val="ListBullet"/>
        <w:spacing w:before="30" w:after="30" w:line="276" w:lineRule="auto"/>
      </w:pPr>
      <w:r>
        <w:rPr>
          <w:rFonts w:ascii="Calibri" w:hAnsi="Calibri"/>
          <w:color w:val="2C3E50"/>
          <w:sz w:val="21"/>
        </w:rPr>
        <w:t>Pianificazione strategica, attuazione del Piano Strategico del Turismo (PST);</w:t>
      </w:r>
    </w:p>
    <w:p>
      <w:pPr>
        <w:pStyle w:val="ListBullet"/>
        <w:spacing w:before="30" w:after="30" w:line="276" w:lineRule="auto"/>
      </w:pPr>
      <w:r>
        <w:rPr>
          <w:rFonts w:ascii="Calibri" w:hAnsi="Calibri"/>
          <w:color w:val="2C3E50"/>
          <w:sz w:val="21"/>
        </w:rPr>
        <w:t>Analisi economica dei dati, osservatorio del turismo;</w:t>
      </w:r>
    </w:p>
    <w:p>
      <w:pPr>
        <w:pStyle w:val="ListBullet"/>
        <w:spacing w:before="30" w:after="30" w:line="276" w:lineRule="auto"/>
      </w:pPr>
      <w:r>
        <w:rPr>
          <w:rFonts w:ascii="Calibri" w:hAnsi="Calibri"/>
          <w:color w:val="2C3E50"/>
          <w:sz w:val="21"/>
        </w:rPr>
        <w:t>Relazioni UE e internazionali;</w:t>
      </w:r>
    </w:p>
    <w:p>
      <w:pPr>
        <w:pStyle w:val="ListBullet"/>
        <w:spacing w:before="30" w:after="30" w:line="276" w:lineRule="auto"/>
      </w:pPr>
      <w:r>
        <w:rPr>
          <w:rFonts w:ascii="Calibri" w:hAnsi="Calibri"/>
          <w:color w:val="2C3E50"/>
          <w:sz w:val="21"/>
        </w:rPr>
        <w:t>Digitalizzazione e gestione del Tourism Digital Hub.</w:t>
      </w:r>
    </w:p>
    <w:p>
      <w:pPr>
        <w:pStyle w:val="ListNumber"/>
        <w:spacing w:before="30" w:after="30" w:line="276" w:lineRule="auto"/>
      </w:pPr>
      <w:r>
        <w:rPr>
          <w:rFonts w:ascii="Calibri" w:hAnsi="Calibri"/>
          <w:color w:val="2C3E50"/>
          <w:sz w:val="21"/>
        </w:rPr>
      </w:r>
      <w:r>
        <w:rPr>
          <w:rFonts w:ascii="Calibri" w:hAnsi="Calibri"/>
          <w:b/>
          <w:color w:val="2C3E50"/>
          <w:sz w:val="21"/>
        </w:rPr>
        <w:t>DG della Valorizzazione e della Promozione Turistica</w:t>
      </w:r>
      <w:r>
        <w:rPr>
          <w:rFonts w:ascii="Calibri" w:hAnsi="Calibri"/>
          <w:color w:val="2C3E50"/>
          <w:sz w:val="21"/>
        </w:rPr>
        <w:t>:</w:t>
      </w:r>
    </w:p>
    <w:p>
      <w:pPr>
        <w:pStyle w:val="ListBullet"/>
        <w:spacing w:before="30" w:after="30" w:line="276" w:lineRule="auto"/>
      </w:pPr>
      <w:r>
        <w:rPr>
          <w:rFonts w:ascii="Calibri" w:hAnsi="Calibri"/>
          <w:color w:val="2C3E50"/>
          <w:sz w:val="21"/>
        </w:rPr>
        <w:t>Sviluppo e differenziazione dei segmenti turistici (borghi, cammini, cicloturismo, termalismo, enogastronomia, turismo congressuale);</w:t>
      </w:r>
    </w:p>
    <w:p>
      <w:pPr>
        <w:pStyle w:val="ListBullet"/>
        <w:spacing w:before="30" w:after="30" w:line="276" w:lineRule="auto"/>
      </w:pPr>
      <w:r>
        <w:rPr>
          <w:rFonts w:ascii="Calibri" w:hAnsi="Calibri"/>
          <w:color w:val="2C3E50"/>
          <w:sz w:val="21"/>
        </w:rPr>
        <w:t>Sostenibilità dell'offerta e destagionalizzazione dei flussi;</w:t>
      </w:r>
    </w:p>
    <w:p>
      <w:pPr>
        <w:pStyle w:val="ListBullet"/>
        <w:spacing w:before="30" w:after="30" w:line="276" w:lineRule="auto"/>
      </w:pPr>
      <w:r>
        <w:rPr>
          <w:rFonts w:ascii="Calibri" w:hAnsi="Calibri"/>
          <w:color w:val="2C3E50"/>
          <w:sz w:val="21"/>
        </w:rPr>
        <w:t>Raccordo operativo con ENIT per le campagne promozionali in Italia e all'estero;</w:t>
      </w:r>
    </w:p>
    <w:p>
      <w:pPr>
        <w:pStyle w:val="ListBullet"/>
        <w:spacing w:before="30" w:after="30" w:line="276" w:lineRule="auto"/>
      </w:pPr>
      <w:r>
        <w:rPr>
          <w:rFonts w:ascii="Calibri" w:hAnsi="Calibri"/>
          <w:color w:val="2C3E50"/>
          <w:sz w:val="21"/>
        </w:rPr>
        <w:t>Progetti speciali di accessibilità e turismo per la terza età.</w:t>
      </w:r>
    </w:p>
    <w:p>
      <w:pPr>
        <w:pStyle w:val="ListNumber"/>
        <w:spacing w:before="30" w:after="30" w:line="276" w:lineRule="auto"/>
      </w:pPr>
      <w:r>
        <w:rPr>
          <w:rFonts w:ascii="Calibri" w:hAnsi="Calibri"/>
          <w:color w:val="2C3E50"/>
          <w:sz w:val="21"/>
        </w:rPr>
      </w:r>
      <w:r>
        <w:rPr>
          <w:rFonts w:ascii="Calibri" w:hAnsi="Calibri"/>
          <w:b/>
          <w:color w:val="2C3E50"/>
          <w:sz w:val="21"/>
        </w:rPr>
        <w:t>DG degli Affari Generali, delle Risorse Umane e delle Professioni Turistiche</w:t>
      </w:r>
      <w:r>
        <w:rPr>
          <w:rFonts w:ascii="Calibri" w:hAnsi="Calibri"/>
          <w:color w:val="2C3E50"/>
          <w:sz w:val="21"/>
        </w:rPr>
        <w:t>:</w:t>
      </w:r>
    </w:p>
    <w:p>
      <w:pPr>
        <w:pStyle w:val="ListBullet"/>
        <w:spacing w:before="30" w:after="30" w:line="276" w:lineRule="auto"/>
      </w:pPr>
      <w:r>
        <w:rPr>
          <w:rFonts w:ascii="Calibri" w:hAnsi="Calibri"/>
          <w:color w:val="2C3E50"/>
          <w:sz w:val="21"/>
        </w:rPr>
        <w:t>Gestione delle risorse umane, finanziarie e del bilancio ministeriale;</w:t>
      </w:r>
    </w:p>
    <w:p>
      <w:pPr>
        <w:pStyle w:val="ListBullet"/>
        <w:spacing w:before="30" w:after="30" w:line="276" w:lineRule="auto"/>
      </w:pPr>
      <w:r>
        <w:rPr>
          <w:rFonts w:ascii="Calibri" w:hAnsi="Calibri"/>
          <w:color w:val="2C3E50"/>
          <w:sz w:val="21"/>
        </w:rPr>
        <w:t>Affari legali e contenzioso;</w:t>
      </w:r>
    </w:p>
    <w:p>
      <w:pPr>
        <w:pStyle w:val="ListBullet"/>
        <w:spacing w:before="30" w:after="30" w:line="276" w:lineRule="auto"/>
      </w:pPr>
      <w:r>
        <w:rPr>
          <w:rFonts w:ascii="Calibri" w:hAnsi="Calibri"/>
          <w:color w:val="2C3E50"/>
          <w:sz w:val="21"/>
        </w:rPr>
      </w:r>
      <w:r>
        <w:rPr>
          <w:rFonts w:ascii="Calibri" w:hAnsi="Calibri"/>
          <w:b/>
          <w:color w:val="2C3E50"/>
          <w:sz w:val="21"/>
        </w:rPr>
        <w:t>Regolamentazione, vigilanza e monitoraggio delle professioni turistiche</w:t>
      </w:r>
      <w:r>
        <w:rPr>
          <w:rFonts w:ascii="Calibri" w:hAnsi="Calibri"/>
          <w:color w:val="2C3E50"/>
          <w:sz w:val="21"/>
        </w:rPr>
        <w:t>;</w:t>
      </w:r>
    </w:p>
    <w:p>
      <w:pPr>
        <w:pStyle w:val="ListBullet"/>
        <w:spacing w:before="30" w:after="30" w:line="276" w:lineRule="auto"/>
      </w:pPr>
      <w:r>
        <w:rPr>
          <w:rFonts w:ascii="Calibri" w:hAnsi="Calibri"/>
          <w:color w:val="2C3E50"/>
          <w:sz w:val="21"/>
        </w:rPr>
      </w:r>
      <w:r>
        <w:rPr>
          <w:rFonts w:ascii="Calibri" w:hAnsi="Calibri"/>
          <w:b/>
          <w:color w:val="2C3E50"/>
          <w:sz w:val="21"/>
        </w:rPr>
        <w:t>Tenuta dell'Elenco Nazionale delle Guide Turistiche</w:t>
      </w:r>
      <w:r>
        <w:rPr>
          <w:rFonts w:ascii="Calibri" w:hAnsi="Calibri"/>
          <w:color w:val="2C3E50"/>
          <w:sz w:val="21"/>
        </w:rPr>
        <w:t>, gestione dei procedimenti di abilitazione, riconoscimento titoli esteri e vigilanza sull'aggiornamento obbligatorio.</w:t>
      </w:r>
    </w:p>
    <w:p>
      <w:pPr>
        <w:keepNext/>
        <w:spacing w:before="280" w:after="80"/>
      </w:pPr>
      <w:r>
        <w:rPr>
          <w:rFonts w:ascii="Calibri" w:hAnsi="Calibri"/>
          <w:b/>
          <w:color w:val="1A56A0"/>
          <w:sz w:val="28"/>
        </w:rPr>
        <w:t>6. ACCESSIBILITÀ E INCLUSIVITÀ DELL'OFFERTA TURISTICA</w:t>
      </w:r>
    </w:p>
    <w:p>
      <w:pPr>
        <w:spacing w:before="40" w:after="60" w:line="276" w:lineRule="auto"/>
      </w:pPr>
      <w:r>
        <w:rPr>
          <w:rFonts w:ascii="Calibri" w:hAnsi="Calibri"/>
          <w:color w:val="2C3E50"/>
          <w:sz w:val="21"/>
        </w:rPr>
      </w:r>
      <w:r>
        <w:rPr>
          <w:rFonts w:ascii="Calibri" w:hAnsi="Calibri"/>
          <w:b/>
          <w:color w:val="2C3E50"/>
          <w:sz w:val="21"/>
        </w:rPr>
        <w:t>Fonti primarie</w:t>
      </w:r>
      <w:r>
        <w:rPr>
          <w:rFonts w:ascii="Calibri" w:hAnsi="Calibri"/>
          <w:color w:val="2C3E50"/>
          <w:sz w:val="21"/>
        </w:rPr>
        <w:t>: Art. 23 e Art. 23-bis Legge 5 febbraio 1992, n. 104; Art. 30 Convenzione ONU sui diritti delle persone con disabilità (2006, ratificata L. 18/2009); Norma Internazionale ISO 21902:2021; Art. 8 D.Lgs. 15 marzo 2024, n. 29; D.Lgs. 62/2024 (nuova definizione di disabilità e progetto di vita).</w:t>
      </w:r>
    </w:p>
    <w:p>
      <w:pPr>
        <w:keepNext/>
        <w:spacing w:before="200" w:after="60"/>
      </w:pPr>
      <w:r>
        <w:rPr>
          <w:rFonts w:ascii="Calibri" w:hAnsi="Calibri"/>
          <w:b/>
          <w:color w:val="2980B9"/>
          <w:sz w:val="23"/>
        </w:rPr>
        <w:t>6.1 Quadro Concettuale: Accessibilità vs Inclusività</w:t>
      </w:r>
    </w:p>
    <w:p>
      <w:pPr>
        <w:pStyle w:val="ListBullet"/>
        <w:spacing w:before="30" w:after="30" w:line="276" w:lineRule="auto"/>
      </w:pPr>
      <w:r>
        <w:rPr>
          <w:rFonts w:ascii="Calibri" w:hAnsi="Calibri"/>
          <w:color w:val="2C3E50"/>
          <w:sz w:val="21"/>
        </w:rPr>
      </w:r>
      <w:r>
        <w:rPr>
          <w:rFonts w:ascii="Calibri" w:hAnsi="Calibri"/>
          <w:b/>
          <w:color w:val="2C3E50"/>
          <w:sz w:val="21"/>
        </w:rPr>
        <w:t>Accessibilità</w:t>
      </w:r>
      <w:r>
        <w:rPr>
          <w:rFonts w:ascii="Calibri" w:hAnsi="Calibri"/>
          <w:color w:val="2C3E50"/>
          <w:sz w:val="21"/>
        </w:rPr>
        <w:t>: Misura tecnica e oggettiva che garantisce a chiunque la possibilità di fruire di spazi, strutture e servizi senza incontrare barriere fisiche, sensoriali o cognitive.</w:t>
      </w:r>
    </w:p>
    <w:p>
      <w:pPr>
        <w:pStyle w:val="ListBullet"/>
        <w:spacing w:before="30" w:after="30" w:line="276" w:lineRule="auto"/>
      </w:pPr>
      <w:r>
        <w:rPr>
          <w:rFonts w:ascii="Calibri" w:hAnsi="Calibri"/>
          <w:color w:val="2C3E50"/>
          <w:sz w:val="21"/>
        </w:rPr>
      </w:r>
      <w:r>
        <w:rPr>
          <w:rFonts w:ascii="Calibri" w:hAnsi="Calibri"/>
          <w:b/>
          <w:color w:val="2C3E50"/>
          <w:sz w:val="21"/>
        </w:rPr>
        <w:t>Inclusività</w:t>
      </w:r>
      <w:r>
        <w:rPr>
          <w:rFonts w:ascii="Calibri" w:hAnsi="Calibri"/>
          <w:color w:val="2C3E50"/>
          <w:sz w:val="21"/>
        </w:rPr>
        <w:t xml:space="preserve">: Dimensione culturale, progettuale e strategica che abbraccia il paradigma del </w:t>
      </w:r>
      <w:r>
        <w:rPr>
          <w:rFonts w:ascii="Calibri" w:hAnsi="Calibri"/>
          <w:b/>
          <w:color w:val="2C3E50"/>
          <w:sz w:val="21"/>
        </w:rPr>
        <w:t>Design for All</w:t>
      </w:r>
      <w:r>
        <w:rPr>
          <w:rFonts w:ascii="Calibri" w:hAnsi="Calibri"/>
          <w:color w:val="2C3E50"/>
          <w:sz w:val="21"/>
        </w:rPr>
        <w:t xml:space="preserve"> (Universal Design o Progettazione Universale). Non crea percorsi "speciali" o separati per minoranze, ma pensa l'ambiente, la comunicazione e i servizi affinché siano godibili da chiunque alle medesime condizioni di dignità e naturalezza.</w:t>
      </w:r>
    </w:p>
    <w:p>
      <w:pPr>
        <w:pStyle w:val="ListBullet"/>
        <w:spacing w:before="30" w:after="30" w:line="276" w:lineRule="auto"/>
      </w:pPr>
      <w:r>
        <w:rPr>
          <w:rFonts w:ascii="Calibri" w:hAnsi="Calibri"/>
          <w:color w:val="2C3E50"/>
          <w:sz w:val="21"/>
        </w:rPr>
      </w:r>
      <w:r>
        <w:rPr>
          <w:rFonts w:ascii="Calibri" w:hAnsi="Calibri"/>
          <w:b/>
          <w:color w:val="2C3E50"/>
          <w:sz w:val="21"/>
        </w:rPr>
        <w:t>Modello Bio-Psico-Sociale (ICF dell'OMS / D.Lgs. 62/2024)</w:t>
      </w:r>
      <w:r>
        <w:rPr>
          <w:rFonts w:ascii="Calibri" w:hAnsi="Calibri"/>
          <w:color w:val="2C3E50"/>
          <w:sz w:val="21"/>
        </w:rPr>
        <w:t>:</w:t>
      </w:r>
    </w:p>
    <w:p>
      <w:pPr>
        <w:pStyle w:val="ListBullet"/>
        <w:spacing w:before="30" w:after="30" w:line="276" w:lineRule="auto"/>
      </w:pPr>
      <w:r>
        <w:rPr>
          <w:rFonts w:ascii="Calibri" w:hAnsi="Calibri"/>
          <w:color w:val="2C3E50"/>
          <w:sz w:val="21"/>
        </w:rPr>
        <w:t>Supera il modello medico (secondo cui la disabilità è una "malattia o difetto individuale").</w:t>
      </w:r>
    </w:p>
    <w:p>
      <w:pPr>
        <w:pStyle w:val="ListBullet"/>
        <w:spacing w:before="30" w:after="30" w:line="276" w:lineRule="auto"/>
      </w:pPr>
      <w:r>
        <w:rPr>
          <w:rFonts w:ascii="Calibri" w:hAnsi="Calibri"/>
          <w:color w:val="2C3E50"/>
          <w:sz w:val="21"/>
        </w:rPr>
        <w:t xml:space="preserve">La disabilità è il risultato dell'interazione tra una condizione di salute e le </w:t>
      </w:r>
      <w:r>
        <w:rPr>
          <w:rFonts w:ascii="Calibri" w:hAnsi="Calibri"/>
          <w:b/>
          <w:color w:val="2C3E50"/>
          <w:sz w:val="21"/>
        </w:rPr>
        <w:t>barriere comportamentali e ambientali</w:t>
      </w:r>
      <w:r>
        <w:rPr>
          <w:rFonts w:ascii="Calibri" w:hAnsi="Calibri"/>
          <w:color w:val="2C3E50"/>
          <w:sz w:val="21"/>
        </w:rPr>
        <w:t xml:space="preserve"> che impediscono la piena ed effettiva partecipazione della persona alla società su base di uguaglianza. Il turismo accessibile riguarda oltre il 15% della popolazione (disabilità motorie, sensoriali, intellettivo-relazionali, ma anche anziani, famiglie con passeggini, persone con intolleranze o fragilità temporanee).</w:t>
      </w:r>
    </w:p>
    <w:p>
      <w:pPr>
        <w:keepNext/>
        <w:spacing w:before="200" w:after="60"/>
      </w:pPr>
      <w:r>
        <w:rPr>
          <w:rFonts w:ascii="Calibri" w:hAnsi="Calibri"/>
          <w:b/>
          <w:color w:val="2980B9"/>
          <w:sz w:val="23"/>
        </w:rPr>
        <w:t>6.2 Legge 5 febbraio 1992, n. 104 (Legge Quadro sulla Disabilità)</w:t>
      </w:r>
    </w:p>
    <w:p>
      <w:pPr>
        <w:pStyle w:val="ListBullet"/>
        <w:spacing w:before="30" w:after="30" w:line="276" w:lineRule="auto"/>
      </w:pPr>
      <w:r>
        <w:rPr>
          <w:rFonts w:ascii="Calibri" w:hAnsi="Calibri"/>
          <w:color w:val="2C3E50"/>
          <w:sz w:val="21"/>
        </w:rPr>
      </w:r>
      <w:r>
        <w:rPr>
          <w:rFonts w:ascii="Calibri" w:hAnsi="Calibri"/>
          <w:b/>
          <w:color w:val="2C3E50"/>
          <w:sz w:val="21"/>
        </w:rPr>
        <w:t>Articolo 23 (Rimozione di ostacoli per l'esercizio di attività sportive, turistiche e ricreative)</w:t>
      </w:r>
      <w:r>
        <w:rPr>
          <w:rFonts w:ascii="Calibri" w:hAnsi="Calibri"/>
          <w:color w:val="2C3E50"/>
          <w:sz w:val="21"/>
        </w:rPr>
        <w:t>:</w:t>
      </w:r>
    </w:p>
    <w:p>
      <w:pPr>
        <w:pStyle w:val="ListBullet"/>
        <w:spacing w:before="30" w:after="30" w:line="276" w:lineRule="auto"/>
      </w:pPr>
      <w:r>
        <w:rPr>
          <w:rFonts w:ascii="Calibri" w:hAnsi="Calibri"/>
          <w:color w:val="2C3E50"/>
          <w:sz w:val="21"/>
        </w:rPr>
        <w:t>Impone a Regioni e Comuni di assicurare che gli impianti sportivi, turistici e ricreativi siano accessibili e fruibili alle persone con disabilità;</w:t>
      </w:r>
    </w:p>
    <w:p>
      <w:pPr>
        <w:pStyle w:val="ListBullet"/>
        <w:spacing w:before="30" w:after="30" w:line="276" w:lineRule="auto"/>
      </w:pPr>
      <w:r>
        <w:rPr>
          <w:rFonts w:ascii="Calibri" w:hAnsi="Calibri"/>
          <w:color w:val="2C3E50"/>
          <w:sz w:val="21"/>
        </w:rPr>
        <w:t>Le concessioni demaniali marittime (stabilimenti balneari) sono subordinate alla garanzia dell'accesso al mare e della fruibilità della battigia per le persone con disabilità;</w:t>
      </w:r>
    </w:p>
    <w:p>
      <w:pPr>
        <w:pStyle w:val="ListBullet"/>
        <w:spacing w:before="30" w:after="30" w:line="276" w:lineRule="auto"/>
      </w:pPr>
      <w:r>
        <w:rPr>
          <w:rFonts w:ascii="Calibri" w:hAnsi="Calibri"/>
          <w:color w:val="2C3E50"/>
          <w:sz w:val="21"/>
        </w:rPr>
        <w:t>Divieto di qualsiasi discriminazione o diniego di accesso nelle strutture ricettive e turistiche aperte al pubblico.</w:t>
      </w:r>
    </w:p>
    <w:p>
      <w:pPr>
        <w:pStyle w:val="ListBullet"/>
        <w:spacing w:before="30" w:after="30" w:line="276" w:lineRule="auto"/>
      </w:pPr>
      <w:r>
        <w:rPr>
          <w:rFonts w:ascii="Calibri" w:hAnsi="Calibri"/>
          <w:color w:val="2C3E50"/>
          <w:sz w:val="21"/>
        </w:rPr>
      </w:r>
      <w:r>
        <w:rPr>
          <w:rFonts w:ascii="Calibri" w:hAnsi="Calibri"/>
          <w:b/>
          <w:color w:val="2C3E50"/>
          <w:sz w:val="21"/>
        </w:rPr>
        <w:t>Articolo 23-bis (introdotto dal D.Lgs. 222/2023 ed entrato in vigore nel 2024)</w:t>
      </w:r>
      <w:r>
        <w:rPr>
          <w:rFonts w:ascii="Calibri" w:hAnsi="Calibri"/>
          <w:color w:val="2C3E50"/>
          <w:sz w:val="21"/>
        </w:rPr>
        <w:t>:</w:t>
      </w:r>
    </w:p>
    <w:p>
      <w:pPr>
        <w:pStyle w:val="ListBullet"/>
        <w:spacing w:before="30" w:after="30" w:line="276" w:lineRule="auto"/>
      </w:pPr>
      <w:r>
        <w:rPr>
          <w:rFonts w:ascii="Calibri" w:hAnsi="Calibri"/>
          <w:color w:val="2C3E50"/>
          <w:sz w:val="21"/>
        </w:rPr>
        <w:t>*Partecipazione a spettacoli e manifestazioni aperte al pubblico*: Obbligo per organizzatori e gestori di garantire un congruo numero di posti accessibili e riservati;</w:t>
      </w:r>
    </w:p>
    <w:p>
      <w:pPr>
        <w:pStyle w:val="ListBullet"/>
        <w:spacing w:before="30" w:after="30" w:line="276" w:lineRule="auto"/>
      </w:pPr>
      <w:r>
        <w:rPr>
          <w:rFonts w:ascii="Calibri" w:hAnsi="Calibri"/>
          <w:color w:val="2C3E50"/>
          <w:sz w:val="21"/>
        </w:rPr>
      </w:r>
      <w:r>
        <w:rPr>
          <w:rFonts w:ascii="Calibri" w:hAnsi="Calibri"/>
          <w:b/>
          <w:color w:val="2C3E50"/>
          <w:sz w:val="21"/>
        </w:rPr>
        <w:t>Gratuità per l'accompagnatore</w:t>
      </w:r>
      <w:r>
        <w:rPr>
          <w:rFonts w:ascii="Calibri" w:hAnsi="Calibri"/>
          <w:color w:val="2C3E50"/>
          <w:sz w:val="21"/>
        </w:rPr>
        <w:t xml:space="preserve">: È sancita la </w:t>
      </w:r>
      <w:r>
        <w:rPr>
          <w:rFonts w:ascii="Calibri" w:hAnsi="Calibri"/>
          <w:b/>
          <w:color w:val="2C3E50"/>
          <w:sz w:val="21"/>
        </w:rPr>
        <w:t>gratuità del titolo di accesso per l'accompagnatore</w:t>
      </w:r>
      <w:r>
        <w:rPr>
          <w:rFonts w:ascii="Calibri" w:hAnsi="Calibri"/>
          <w:color w:val="2C3E50"/>
          <w:sz w:val="21"/>
        </w:rPr>
        <w:t xml:space="preserve"> della persona con invalidità pari o superiore al 67% (o con riconoscimento di handicap grave ex art. 3 c. 3 L. 104) in musei, spettacoli, teatri, concerti ed eventi culturali pubblici o aperti al pubblico.</w:t>
      </w:r>
    </w:p>
    <w:p>
      <w:pPr>
        <w:keepNext/>
        <w:spacing w:before="200" w:after="60"/>
      </w:pPr>
      <w:r>
        <w:rPr>
          <w:rFonts w:ascii="Calibri" w:hAnsi="Calibri"/>
          <w:b/>
          <w:color w:val="2980B9"/>
          <w:sz w:val="23"/>
        </w:rPr>
        <w:t>6.3 Convenzione ONU sui Diritti delle Persone con Disabilità (2006 - L. 18/2009)</w:t>
      </w:r>
    </w:p>
    <w:p>
      <w:pPr>
        <w:pStyle w:val="ListBullet"/>
        <w:spacing w:before="30" w:after="30" w:line="276" w:lineRule="auto"/>
      </w:pPr>
      <w:r>
        <w:rPr>
          <w:rFonts w:ascii="Calibri" w:hAnsi="Calibri"/>
          <w:color w:val="2C3E50"/>
          <w:sz w:val="21"/>
        </w:rPr>
      </w:r>
      <w:r>
        <w:rPr>
          <w:rFonts w:ascii="Calibri" w:hAnsi="Calibri"/>
          <w:b/>
          <w:color w:val="2C3E50"/>
          <w:sz w:val="21"/>
        </w:rPr>
        <w:t>Articolo 30 (Partecipazione alla vita culturale e ricreativa, agli svaghi e allo sport)</w:t>
      </w:r>
      <w:r>
        <w:rPr>
          <w:rFonts w:ascii="Calibri" w:hAnsi="Calibri"/>
          <w:color w:val="2C3E50"/>
          <w:sz w:val="21"/>
        </w:rPr>
        <w:t>:</w:t>
      </w:r>
    </w:p>
    <w:p>
      <w:pPr>
        <w:spacing w:before="40" w:after="60" w:line="276" w:lineRule="auto"/>
      </w:pPr>
      <w:r>
        <w:rPr>
          <w:rFonts w:ascii="Calibri" w:hAnsi="Calibri"/>
          <w:color w:val="2C3E50"/>
          <w:sz w:val="21"/>
        </w:rPr>
        <w:t>Gli Stati Parti riconoscono il diritto delle persone con disabilità a partecipare alla vita culturale e adottano ogni misura idonea per garantire che:</w:t>
      </w:r>
    </w:p>
    <w:p>
      <w:pPr>
        <w:spacing w:before="40" w:after="60" w:line="276" w:lineRule="auto"/>
      </w:pPr>
      <w:r>
        <w:rPr>
          <w:rFonts w:ascii="Calibri" w:hAnsi="Calibri"/>
          <w:color w:val="2C3E50"/>
          <w:sz w:val="21"/>
        </w:rPr>
        <w:t>a) Abbiano accesso ai prodotti culturali in formati accessibili (testi a grandi caratteri, Braille, audiolibri, sottotitolazione);</w:t>
      </w:r>
    </w:p>
    <w:p>
      <w:pPr>
        <w:spacing w:before="40" w:after="60" w:line="276" w:lineRule="auto"/>
      </w:pPr>
      <w:r>
        <w:rPr>
          <w:rFonts w:ascii="Calibri" w:hAnsi="Calibri"/>
          <w:color w:val="2C3E50"/>
          <w:sz w:val="21"/>
        </w:rPr>
        <w:t>b) Abbiano accesso a programmi televisivi, spettacoli teatrali, cinematografici e culturali;</w:t>
      </w:r>
    </w:p>
    <w:p>
      <w:pPr>
        <w:spacing w:before="40" w:after="60" w:line="276" w:lineRule="auto"/>
      </w:pPr>
      <w:r>
        <w:rPr>
          <w:rFonts w:ascii="Calibri" w:hAnsi="Calibri"/>
          <w:color w:val="2C3E50"/>
          <w:sz w:val="21"/>
        </w:rPr>
        <w:t>c) Abbiano accesso a luoghi di attività culturali quali teatri, musei, biblioteche, monumenti e siti archeologici nazionali;</w:t>
      </w:r>
    </w:p>
    <w:p>
      <w:pPr>
        <w:spacing w:before="40" w:after="60" w:line="276" w:lineRule="auto"/>
      </w:pPr>
      <w:r>
        <w:rPr>
          <w:rFonts w:ascii="Calibri" w:hAnsi="Calibri"/>
          <w:color w:val="2C3E50"/>
          <w:sz w:val="21"/>
        </w:rPr>
        <w:t>d) Sia incoraggiato lo sviluppo e l'utilizzo del loro potenziale creativo, artistico e intellettuale;</w:t>
      </w:r>
    </w:p>
    <w:p>
      <w:pPr>
        <w:spacing w:before="40" w:after="60" w:line="276" w:lineRule="auto"/>
      </w:pPr>
      <w:r>
        <w:rPr>
          <w:rFonts w:ascii="Calibri" w:hAnsi="Calibri"/>
          <w:color w:val="2C3E50"/>
          <w:sz w:val="21"/>
        </w:rPr>
        <w:t xml:space="preserve">e) Siano riconosciute e supportate le loro identità culturali e linguistiche specifiche, comprese le </w:t>
      </w:r>
      <w:r>
        <w:rPr>
          <w:rFonts w:ascii="Calibri" w:hAnsi="Calibri"/>
          <w:b/>
          <w:color w:val="2C3E50"/>
          <w:sz w:val="21"/>
        </w:rPr>
        <w:t>Lingue dei Segni (LIS)</w:t>
      </w:r>
      <w:r>
        <w:rPr>
          <w:rFonts w:ascii="Calibri" w:hAnsi="Calibri"/>
          <w:color w:val="2C3E50"/>
          <w:sz w:val="21"/>
        </w:rPr>
        <w:t xml:space="preserve"> e la cultura sorda;</w:t>
      </w:r>
    </w:p>
    <w:p>
      <w:pPr>
        <w:spacing w:before="40" w:after="60" w:line="276" w:lineRule="auto"/>
      </w:pPr>
      <w:r>
        <w:rPr>
          <w:rFonts w:ascii="Calibri" w:hAnsi="Calibri"/>
          <w:color w:val="2C3E50"/>
          <w:sz w:val="21"/>
        </w:rPr>
        <w:t>f) Possano partecipare su base di uguaglianza ad attività ricreative, del tempo libero e sportive.</w:t>
      </w:r>
    </w:p>
    <w:p>
      <w:pPr>
        <w:keepNext/>
        <w:spacing w:before="200" w:after="60"/>
      </w:pPr>
      <w:r>
        <w:rPr>
          <w:rFonts w:ascii="Calibri" w:hAnsi="Calibri"/>
          <w:b/>
          <w:color w:val="2980B9"/>
          <w:sz w:val="23"/>
        </w:rPr>
        <w:t>6.4 Norma Tecnica Internazionale ISO 21902:2021</w:t>
      </w:r>
    </w:p>
    <w:p>
      <w:pPr>
        <w:spacing w:before="40" w:after="60" w:line="276" w:lineRule="auto"/>
      </w:pPr>
      <w:r>
        <w:rPr>
          <w:rFonts w:ascii="Calibri" w:hAnsi="Calibri"/>
          <w:color w:val="2C3E50"/>
          <w:sz w:val="21"/>
        </w:rPr>
        <w:t>(Accessible tourism for all - Requirements and recommendations)</w:t>
      </w:r>
    </w:p>
    <w:p>
      <w:pPr>
        <w:spacing w:before="40" w:after="60" w:line="276" w:lineRule="auto"/>
      </w:pPr>
      <w:r>
        <w:rPr>
          <w:rFonts w:ascii="Calibri" w:hAnsi="Calibri"/>
          <w:color w:val="2C3E50"/>
          <w:sz w:val="21"/>
        </w:rPr>
        <w:t>È il primo standard ISO mondiale dedicato al turismo accessibile, sviluppato con UNWTO e Fondazione ONCE.</w:t>
      </w:r>
    </w:p>
    <w:p>
      <w:pPr>
        <w:pStyle w:val="ListBullet"/>
        <w:spacing w:before="30" w:after="30" w:line="276" w:lineRule="auto"/>
      </w:pPr>
      <w:r>
        <w:rPr>
          <w:rFonts w:ascii="Calibri" w:hAnsi="Calibri"/>
          <w:color w:val="2C3E50"/>
          <w:sz w:val="21"/>
        </w:rPr>
      </w:r>
      <w:r>
        <w:rPr>
          <w:rFonts w:ascii="Calibri" w:hAnsi="Calibri"/>
          <w:b/>
          <w:color w:val="2C3E50"/>
          <w:sz w:val="21"/>
        </w:rPr>
        <w:t>I Principi Fondamentali</w:t>
      </w:r>
      <w:r>
        <w:rPr>
          <w:rFonts w:ascii="Calibri" w:hAnsi="Calibri"/>
          <w:color w:val="2C3E50"/>
          <w:sz w:val="21"/>
        </w:rPr>
        <w:t>:</w:t>
      </w:r>
    </w:p>
    <w:p>
      <w:pPr>
        <w:pStyle w:val="ListNumber"/>
        <w:spacing w:before="30" w:after="30" w:line="276" w:lineRule="auto"/>
      </w:pPr>
      <w:r>
        <w:rPr>
          <w:rFonts w:ascii="Calibri" w:hAnsi="Calibri"/>
          <w:color w:val="2C3E50"/>
          <w:sz w:val="21"/>
        </w:rPr>
        <w:t>*Catena di Accessibilità Ininterrotta (Unbroken Accessibility Chain)*: L'accessibilità non può interrompersi tra un anello e l'altro della filiera turistica (informazione -&gt; trasporto -&gt; arrivo -&gt; accoglienza -&gt; visita guidata -&gt; ristorazione -&gt; rientro). Un solo anello inaccessibile vanifica l'intero viaggio.</w:t>
      </w:r>
    </w:p>
    <w:p>
      <w:pPr>
        <w:pStyle w:val="ListNumber"/>
        <w:spacing w:before="30" w:after="30" w:line="276" w:lineRule="auto"/>
      </w:pPr>
      <w:r>
        <w:rPr>
          <w:rFonts w:ascii="Calibri" w:hAnsi="Calibri"/>
          <w:color w:val="2C3E50"/>
          <w:sz w:val="21"/>
        </w:rPr>
        <w:t>*Divieto di sovrapprezzo (No Surcharge)*: I servizi, le stanze o gli adattamenti accessibili non possono avere costi aggiuntivi a carico della persona con disabilità rispetto ai servizi standard.</w:t>
      </w:r>
    </w:p>
    <w:p>
      <w:pPr>
        <w:pStyle w:val="ListNumber"/>
        <w:spacing w:before="30" w:after="30" w:line="276" w:lineRule="auto"/>
      </w:pPr>
      <w:r>
        <w:rPr>
          <w:rFonts w:ascii="Calibri" w:hAnsi="Calibri"/>
          <w:color w:val="2C3E50"/>
          <w:sz w:val="21"/>
        </w:rPr>
        <w:t>*Trasparenza dell'informazione pre-viaggio*: Informazioni oggettive, verificate e dettagliate sulle reali condizioni di accessibilità (misure esatte di porte, pendenze, presenza di rampe, mappe tattili, percorsi alternativi) pubblicate su siti web accessibili conformi agli standard WCAG 2.1 livello AA.</w:t>
      </w:r>
    </w:p>
    <w:p>
      <w:pPr>
        <w:pStyle w:val="ListNumber"/>
        <w:spacing w:before="30" w:after="30" w:line="276" w:lineRule="auto"/>
      </w:pPr>
      <w:r>
        <w:rPr>
          <w:rFonts w:ascii="Calibri" w:hAnsi="Calibri"/>
          <w:color w:val="2C3E50"/>
          <w:sz w:val="21"/>
        </w:rPr>
        <w:t>*Formazione obbligatoria del personale*: Addestramento all'accoglienza, al linguaggio rispettoso e alla gestione delle emergenze.</w:t>
      </w:r>
    </w:p>
    <w:p>
      <w:pPr>
        <w:keepNext/>
        <w:spacing w:before="200" w:after="60"/>
      </w:pPr>
      <w:r>
        <w:rPr>
          <w:rFonts w:ascii="Calibri" w:hAnsi="Calibri"/>
          <w:b/>
          <w:color w:val="2980B9"/>
          <w:sz w:val="23"/>
        </w:rPr>
        <w:t>6.5 Art. 8 D.Lgs. 15 marzo 2024, n. 29 (Turismo del Benessere e Turismo Lento)</w:t>
      </w:r>
    </w:p>
    <w:p>
      <w:pPr>
        <w:spacing w:before="40" w:after="60" w:line="276" w:lineRule="auto"/>
      </w:pPr>
      <w:r>
        <w:rPr>
          <w:rFonts w:ascii="Calibri" w:hAnsi="Calibri"/>
          <w:color w:val="2C3E50"/>
          <w:sz w:val="21"/>
        </w:rPr>
        <w:t>Attuazione della Legge delega 33/2023 sulle politiche in favore delle persone anziane:</w:t>
      </w:r>
    </w:p>
    <w:p>
      <w:pPr>
        <w:pStyle w:val="ListBullet"/>
        <w:spacing w:before="30" w:after="30" w:line="276" w:lineRule="auto"/>
      </w:pPr>
      <w:r>
        <w:rPr>
          <w:rFonts w:ascii="Calibri" w:hAnsi="Calibri"/>
          <w:color w:val="2C3E50"/>
          <w:sz w:val="21"/>
        </w:rPr>
        <w:t>Il Ministero del Turismo promuove interventi per valorizzare il turismo per la terza età, contrastando l'isolamento sociale:</w:t>
      </w:r>
    </w:p>
    <w:p>
      <w:pPr>
        <w:pStyle w:val="ListNumber"/>
        <w:spacing w:before="30" w:after="30" w:line="276" w:lineRule="auto"/>
      </w:pPr>
      <w:r>
        <w:rPr>
          <w:rFonts w:ascii="Calibri" w:hAnsi="Calibri"/>
          <w:color w:val="2C3E50"/>
          <w:sz w:val="21"/>
        </w:rPr>
      </w:r>
      <w:r>
        <w:rPr>
          <w:rFonts w:ascii="Calibri" w:hAnsi="Calibri"/>
          <w:b/>
          <w:color w:val="2C3E50"/>
          <w:sz w:val="21"/>
        </w:rPr>
        <w:t>Convenzioni e tariffe calmierate</w:t>
      </w:r>
      <w:r>
        <w:rPr>
          <w:rFonts w:ascii="Calibri" w:hAnsi="Calibri"/>
          <w:color w:val="2C3E50"/>
          <w:sz w:val="21"/>
        </w:rPr>
        <w:t>: Accordi tra strutture sociosanitarie/residenziali e strutture alberghiere, termali, agriturismi e stabilimenti per soggiorni a prezzi agevolati nei giorni infrasettimanali e in bassa stagione;</w:t>
      </w:r>
    </w:p>
    <w:p>
      <w:pPr>
        <w:pStyle w:val="ListNumber"/>
        <w:spacing w:before="30" w:after="30" w:line="276" w:lineRule="auto"/>
      </w:pPr>
      <w:r>
        <w:rPr>
          <w:rFonts w:ascii="Calibri" w:hAnsi="Calibri"/>
          <w:color w:val="2C3E50"/>
          <w:sz w:val="21"/>
        </w:rPr>
      </w:r>
      <w:r>
        <w:rPr>
          <w:rFonts w:ascii="Calibri" w:hAnsi="Calibri"/>
          <w:b/>
          <w:color w:val="2C3E50"/>
          <w:sz w:val="21"/>
        </w:rPr>
        <w:t>Turismo lento e mobilità dolce</w:t>
      </w:r>
      <w:r>
        <w:rPr>
          <w:rFonts w:ascii="Calibri" w:hAnsi="Calibri"/>
          <w:color w:val="2C3E50"/>
          <w:sz w:val="21"/>
        </w:rPr>
        <w:t>: Percorsi naturalistici, cicloturismo assistito e cammini storici attrezzati per persone anziane;</w:t>
      </w:r>
    </w:p>
    <w:p>
      <w:pPr>
        <w:pStyle w:val="ListNumber"/>
        <w:spacing w:before="30" w:after="30" w:line="276" w:lineRule="auto"/>
      </w:pPr>
      <w:r>
        <w:rPr>
          <w:rFonts w:ascii="Calibri" w:hAnsi="Calibri"/>
          <w:color w:val="2C3E50"/>
          <w:sz w:val="21"/>
        </w:rPr>
      </w:r>
      <w:r>
        <w:rPr>
          <w:rFonts w:ascii="Calibri" w:hAnsi="Calibri"/>
          <w:b/>
          <w:color w:val="2C3E50"/>
          <w:sz w:val="21"/>
        </w:rPr>
        <w:t>Accessibilità nei luoghi della cultura</w:t>
      </w:r>
      <w:r>
        <w:rPr>
          <w:rFonts w:ascii="Calibri" w:hAnsi="Calibri"/>
          <w:color w:val="2C3E50"/>
          <w:sz w:val="21"/>
        </w:rPr>
        <w:t>: Intese congiunte tra Ministero del Turismo e Ministero della Cultura per favorire la fruizione agevolata degli istituti e luoghi della cultura ex art. 101 Codice Beni Culturali anche da parte di anziani non autosufficienti (abbattimento barriere cognitive, ascensori, navette, percorsi sensoriali).</w:t>
      </w:r>
    </w:p>
    <w:p>
      <w:pPr>
        <w:keepNext/>
        <w:spacing w:before="200" w:after="60"/>
      </w:pPr>
      <w:r>
        <w:rPr>
          <w:rFonts w:ascii="Calibri" w:hAnsi="Calibri"/>
          <w:b/>
          <w:color w:val="2980B9"/>
          <w:sz w:val="23"/>
        </w:rPr>
        <w:t>6.6 Il Ruolo Operativo della Guida Turistica nell'Accessibilità</w:t>
      </w:r>
    </w:p>
    <w:p>
      <w:pPr>
        <w:spacing w:before="40" w:after="60" w:line="276" w:lineRule="auto"/>
      </w:pPr>
      <w:r>
        <w:rPr>
          <w:rFonts w:ascii="Calibri" w:hAnsi="Calibri"/>
          <w:color w:val="2C3E50"/>
          <w:sz w:val="21"/>
        </w:rPr>
        <w:t xml:space="preserve">La guida turistica abilitata non è solo un narratore di nozioni storiche, ma il </w:t>
      </w:r>
      <w:r>
        <w:rPr>
          <w:rFonts w:ascii="Calibri" w:hAnsi="Calibri"/>
          <w:b/>
          <w:color w:val="2C3E50"/>
          <w:sz w:val="21"/>
        </w:rPr>
        <w:t>mediatore dell'esperienza culturale per tutti</w:t>
      </w:r>
      <w:r>
        <w:rPr>
          <w:rFonts w:ascii="Calibri" w:hAnsi="Calibri"/>
          <w:color w:val="2C3E50"/>
          <w:sz w:val="21"/>
        </w:rPr>
        <w:t>.</w:t>
      </w:r>
    </w:p>
    <w:p>
      <w:pPr>
        <w:pStyle w:val="ListBullet"/>
        <w:spacing w:before="30" w:after="30" w:line="276" w:lineRule="auto"/>
      </w:pPr>
      <w:r>
        <w:rPr>
          <w:rFonts w:ascii="Calibri" w:hAnsi="Calibri"/>
          <w:color w:val="2C3E50"/>
          <w:sz w:val="21"/>
        </w:rPr>
      </w:r>
      <w:r>
        <w:rPr>
          <w:rFonts w:ascii="Calibri" w:hAnsi="Calibri"/>
          <w:b/>
          <w:color w:val="2C3E50"/>
          <w:sz w:val="21"/>
        </w:rPr>
        <w:t>Disabilità motoria</w:t>
      </w:r>
      <w:r>
        <w:rPr>
          <w:rFonts w:ascii="Calibri" w:hAnsi="Calibri"/>
          <w:color w:val="2C3E50"/>
          <w:sz w:val="21"/>
        </w:rPr>
        <w:t>:</w:t>
      </w:r>
    </w:p>
    <w:p>
      <w:pPr>
        <w:pStyle w:val="ListBullet"/>
        <w:spacing w:before="30" w:after="30" w:line="276" w:lineRule="auto"/>
      </w:pPr>
      <w:r>
        <w:rPr>
          <w:rFonts w:ascii="Calibri" w:hAnsi="Calibri"/>
          <w:color w:val="2C3E50"/>
          <w:sz w:val="21"/>
        </w:rPr>
        <w:t>Verifica preventiva del percorso (assenza di gradini non raccordati, pendenze &lt; 8%, pavimentazioni sconnesse, ciottolato, presenza di ascensori funzionanti e bagni accessibili);</w:t>
      </w:r>
    </w:p>
    <w:p>
      <w:pPr>
        <w:pStyle w:val="ListBullet"/>
        <w:spacing w:before="30" w:after="30" w:line="276" w:lineRule="auto"/>
      </w:pPr>
      <w:r>
        <w:rPr>
          <w:rFonts w:ascii="Calibri" w:hAnsi="Calibri"/>
          <w:color w:val="2C3E50"/>
          <w:sz w:val="21"/>
        </w:rPr>
        <w:t>Pianificazione di soste e calibrazione dei tempi di percorrenza.</w:t>
      </w:r>
    </w:p>
    <w:p>
      <w:pPr>
        <w:pStyle w:val="ListBullet"/>
        <w:spacing w:before="30" w:after="30" w:line="276" w:lineRule="auto"/>
      </w:pPr>
      <w:r>
        <w:rPr>
          <w:rFonts w:ascii="Calibri" w:hAnsi="Calibri"/>
          <w:color w:val="2C3E50"/>
          <w:sz w:val="21"/>
        </w:rPr>
      </w:r>
      <w:r>
        <w:rPr>
          <w:rFonts w:ascii="Calibri" w:hAnsi="Calibri"/>
          <w:b/>
          <w:color w:val="2C3E50"/>
          <w:sz w:val="21"/>
        </w:rPr>
        <w:t>Disabilità visiva (ciechi e ipovedenti)</w:t>
      </w:r>
      <w:r>
        <w:rPr>
          <w:rFonts w:ascii="Calibri" w:hAnsi="Calibri"/>
          <w:color w:val="2C3E50"/>
          <w:sz w:val="21"/>
        </w:rPr>
        <w:t>:</w:t>
      </w:r>
    </w:p>
    <w:p>
      <w:pPr>
        <w:pStyle w:val="ListBullet"/>
        <w:spacing w:before="30" w:after="30" w:line="276" w:lineRule="auto"/>
      </w:pPr>
      <w:r>
        <w:rPr>
          <w:rFonts w:ascii="Calibri" w:hAnsi="Calibri"/>
          <w:color w:val="2C3E50"/>
          <w:sz w:val="21"/>
        </w:rPr>
        <w:t>*Audiodescrizione accurata*: Descrizione delle dimensioni, forme, colori, luce, atmosfera, volumetrie spaziali con riferimenti chiari a coordinate spaziali (ore dell'orologio, destra/sinistra dal punto di vista del visitatore);</w:t>
      </w:r>
    </w:p>
    <w:p>
      <w:pPr>
        <w:pStyle w:val="ListBullet"/>
        <w:spacing w:before="30" w:after="30" w:line="276" w:lineRule="auto"/>
      </w:pPr>
      <w:r>
        <w:rPr>
          <w:rFonts w:ascii="Calibri" w:hAnsi="Calibri"/>
          <w:color w:val="2C3E50"/>
          <w:sz w:val="21"/>
        </w:rPr>
        <w:t>*Esplorazione tattile*: Utilizzo di modelli tridimensionali in scala, riproduzioni tattili, bassorilievi, campioni di materiali originali (marmo, bronzo, legno, intonaco), cartine termoformate;</w:t>
      </w:r>
    </w:p>
    <w:p>
      <w:pPr>
        <w:pStyle w:val="ListBullet"/>
        <w:spacing w:before="30" w:after="30" w:line="276" w:lineRule="auto"/>
      </w:pPr>
      <w:r>
        <w:rPr>
          <w:rFonts w:ascii="Calibri" w:hAnsi="Calibri"/>
          <w:color w:val="2C3E50"/>
          <w:sz w:val="21"/>
        </w:rPr>
        <w:t>Consenso preventivo all'accompagnamento fisico; non toccare né distrarre i cani guida.</w:t>
      </w:r>
    </w:p>
    <w:p>
      <w:pPr>
        <w:pStyle w:val="ListBullet"/>
        <w:spacing w:before="30" w:after="30" w:line="276" w:lineRule="auto"/>
      </w:pPr>
      <w:r>
        <w:rPr>
          <w:rFonts w:ascii="Calibri" w:hAnsi="Calibri"/>
          <w:color w:val="2C3E50"/>
          <w:sz w:val="21"/>
        </w:rPr>
      </w:r>
      <w:r>
        <w:rPr>
          <w:rFonts w:ascii="Calibri" w:hAnsi="Calibri"/>
          <w:b/>
          <w:color w:val="2C3E50"/>
          <w:sz w:val="21"/>
        </w:rPr>
        <w:t>Disabilità uditiva (sordi e ipoacusici)</w:t>
      </w:r>
      <w:r>
        <w:rPr>
          <w:rFonts w:ascii="Calibri" w:hAnsi="Calibri"/>
          <w:color w:val="2C3E50"/>
          <w:sz w:val="21"/>
        </w:rPr>
        <w:t>:</w:t>
      </w:r>
    </w:p>
    <w:p>
      <w:pPr>
        <w:pStyle w:val="ListBullet"/>
        <w:spacing w:before="30" w:after="30" w:line="276" w:lineRule="auto"/>
      </w:pPr>
      <w:r>
        <w:rPr>
          <w:rFonts w:ascii="Calibri" w:hAnsi="Calibri"/>
          <w:color w:val="2C3E50"/>
          <w:sz w:val="21"/>
        </w:rPr>
        <w:t>Collaborazione con interpreti LIS qualificate;</w:t>
      </w:r>
    </w:p>
    <w:p>
      <w:pPr>
        <w:pStyle w:val="ListBullet"/>
        <w:spacing w:before="30" w:after="30" w:line="276" w:lineRule="auto"/>
      </w:pPr>
      <w:r>
        <w:rPr>
          <w:rFonts w:ascii="Calibri" w:hAnsi="Calibri"/>
          <w:color w:val="2C3E50"/>
          <w:sz w:val="21"/>
        </w:rPr>
        <w:t>Posizionamento corretto della guida: sempre rivolta verso la luce e verso il gruppo per consentire la lettura labiale;</w:t>
      </w:r>
    </w:p>
    <w:p>
      <w:pPr>
        <w:pStyle w:val="ListBullet"/>
        <w:spacing w:before="30" w:after="30" w:line="276" w:lineRule="auto"/>
      </w:pPr>
      <w:r>
        <w:rPr>
          <w:rFonts w:ascii="Calibri" w:hAnsi="Calibri"/>
          <w:color w:val="2C3E50"/>
          <w:sz w:val="21"/>
        </w:rPr>
        <w:t>Articolazione chiara senza urlare o esagerare la mimica; utilizzo di radioguide (whisper) compatibili con apparecchi acustici (sistema telecoil/loop o Bluetooth).</w:t>
      </w:r>
    </w:p>
    <w:p>
      <w:pPr>
        <w:pStyle w:val="ListBullet"/>
        <w:spacing w:before="30" w:after="30" w:line="276" w:lineRule="auto"/>
      </w:pPr>
      <w:r>
        <w:rPr>
          <w:rFonts w:ascii="Calibri" w:hAnsi="Calibri"/>
          <w:color w:val="2C3E50"/>
          <w:sz w:val="21"/>
        </w:rPr>
      </w:r>
      <w:r>
        <w:rPr>
          <w:rFonts w:ascii="Calibri" w:hAnsi="Calibri"/>
          <w:b/>
          <w:color w:val="2C3E50"/>
          <w:sz w:val="21"/>
        </w:rPr>
        <w:t>Disabilità intellettiva e disturbi del neurosviluppo (Autismo, fragilità cognitive)</w:t>
      </w:r>
      <w:r>
        <w:rPr>
          <w:rFonts w:ascii="Calibri" w:hAnsi="Calibri"/>
          <w:color w:val="2C3E50"/>
          <w:sz w:val="21"/>
        </w:rPr>
        <w:t>:</w:t>
      </w:r>
    </w:p>
    <w:p>
      <w:pPr>
        <w:pStyle w:val="ListBullet"/>
        <w:spacing w:before="30" w:after="30" w:line="276" w:lineRule="auto"/>
      </w:pPr>
      <w:r>
        <w:rPr>
          <w:rFonts w:ascii="Calibri" w:hAnsi="Calibri"/>
          <w:color w:val="2C3E50"/>
          <w:sz w:val="21"/>
        </w:rPr>
        <w:t>Linguaggio "Easy-to-Read" (semplice, frasi brevi, concetti lineari, assenza di metafore ambigue);</w:t>
      </w:r>
    </w:p>
    <w:p>
      <w:pPr>
        <w:pStyle w:val="ListBullet"/>
        <w:spacing w:before="30" w:after="30" w:line="276" w:lineRule="auto"/>
      </w:pPr>
      <w:r>
        <w:rPr>
          <w:rFonts w:ascii="Calibri" w:hAnsi="Calibri"/>
          <w:color w:val="2C3E50"/>
          <w:sz w:val="21"/>
        </w:rPr>
        <w:t>Anticipazione visiva del percorso tramite storie sociali e mappe iconiche per prevenire l'ansia da disorientamento;</w:t>
      </w:r>
    </w:p>
    <w:p>
      <w:pPr>
        <w:pStyle w:val="ListBullet"/>
        <w:spacing w:before="30" w:after="30" w:line="276" w:lineRule="auto"/>
      </w:pPr>
      <w:r>
        <w:rPr>
          <w:rFonts w:ascii="Calibri" w:hAnsi="Calibri"/>
          <w:color w:val="2C3E50"/>
          <w:sz w:val="21"/>
        </w:rPr>
        <w:t>Gestione del carico sensoriale (evitare ambienti con sovraccarico acustico/luminoso improvviso, identificare aree di decompressione/quiete).</w:t>
      </w:r>
    </w:p>
    <w:p>
      <w:pPr>
        <w:keepNext/>
        <w:spacing w:before="280" w:after="80"/>
      </w:pPr>
      <w:r>
        <w:rPr>
          <w:rFonts w:ascii="Calibri" w:hAnsi="Calibri"/>
          <w:b/>
          <w:color w:val="1A56A0"/>
          <w:sz w:val="28"/>
        </w:rPr>
        <w:t>SCHEMA SINOTTICO DI RIPASSO E CONFRONTO RAPIDO</w:t>
      </w:r>
    </w:p>
    <w:p>
      <w:pPr>
        <w:keepNext/>
        <w:spacing w:before="200" w:after="60"/>
      </w:pPr>
      <w:r>
        <w:rPr>
          <w:rFonts w:ascii="Calibri" w:hAnsi="Calibri"/>
          <w:b/>
          <w:color w:val="2980B9"/>
          <w:sz w:val="23"/>
        </w:rPr>
        <w:t>Quadro Comparativo: Le Tre Funzioni del Codice dei Beni Culturali (D.Lgs. 42/2004)</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vAlign w:val="center"/>
            <w:tcMar>
              <w:top w:w="120" w:type="dxa"/>
              <w:bottom w:w="120" w:type="dxa"/>
              <w:left w:w="160" w:type="dxa"/>
              <w:right w:w="160" w:type="dxa"/>
            </w:tcMar>
            <w:shd w:fill="1A56A0"/>
          </w:tcPr>
          <w:p>
            <w:pPr>
              <w:spacing w:before="40" w:after="40" w:line="276" w:lineRule="auto"/>
            </w:pPr>
            <w:r>
              <w:rPr>
                <w:rFonts w:ascii="Calibri" w:hAnsi="Calibri"/>
                <w:b/>
                <w:color w:val="FFFFFF"/>
                <w:sz w:val="19"/>
              </w:rPr>
              <w:t>Parametro</w:t>
            </w:r>
          </w:p>
        </w:tc>
        <w:tc>
          <w:tcPr>
            <w:tcW w:type="dxa" w:w="2484"/>
            <w:vAlign w:val="center"/>
            <w:tcMar>
              <w:top w:w="120" w:type="dxa"/>
              <w:bottom w:w="120" w:type="dxa"/>
              <w:left w:w="160" w:type="dxa"/>
              <w:right w:w="160" w:type="dxa"/>
            </w:tcMar>
            <w:shd w:fill="1A56A0"/>
          </w:tcPr>
          <w:p>
            <w:pPr>
              <w:spacing w:before="40" w:after="40" w:line="276" w:lineRule="auto"/>
            </w:pPr>
            <w:r>
              <w:rPr>
                <w:rFonts w:ascii="Calibri" w:hAnsi="Calibri"/>
                <w:b/>
                <w:color w:val="FFFFFF"/>
                <w:sz w:val="19"/>
              </w:rPr>
              <w:t>Tutela (Art. 3)</w:t>
            </w:r>
          </w:p>
        </w:tc>
        <w:tc>
          <w:tcPr>
            <w:tcW w:type="dxa" w:w="2484"/>
            <w:vAlign w:val="center"/>
            <w:tcMar>
              <w:top w:w="120" w:type="dxa"/>
              <w:bottom w:w="120" w:type="dxa"/>
              <w:left w:w="160" w:type="dxa"/>
              <w:right w:w="160" w:type="dxa"/>
            </w:tcMar>
            <w:shd w:fill="1A56A0"/>
          </w:tcPr>
          <w:p>
            <w:pPr>
              <w:spacing w:before="40" w:after="40" w:line="276" w:lineRule="auto"/>
            </w:pPr>
            <w:r>
              <w:rPr>
                <w:rFonts w:ascii="Calibri" w:hAnsi="Calibri"/>
                <w:b/>
                <w:color w:val="FFFFFF"/>
                <w:sz w:val="19"/>
              </w:rPr>
              <w:t>Valorizzazione (Art. 6)</w:t>
            </w:r>
          </w:p>
        </w:tc>
        <w:tc>
          <w:tcPr>
            <w:tcW w:type="dxa" w:w="2484"/>
            <w:vAlign w:val="center"/>
            <w:tcMar>
              <w:top w:w="120" w:type="dxa"/>
              <w:bottom w:w="120" w:type="dxa"/>
              <w:left w:w="160" w:type="dxa"/>
              <w:right w:w="160" w:type="dxa"/>
            </w:tcMar>
            <w:shd w:fill="1A56A0"/>
          </w:tcPr>
          <w:p>
            <w:pPr>
              <w:spacing w:before="40" w:after="40" w:line="276" w:lineRule="auto"/>
            </w:pPr>
            <w:r>
              <w:rPr>
                <w:rFonts w:ascii="Calibri" w:hAnsi="Calibri"/>
                <w:b/>
                <w:color w:val="FFFFFF"/>
                <w:sz w:val="19"/>
              </w:rPr>
              <w:t>Fruizione (Artt. 101-102)</w:t>
            </w:r>
          </w:p>
        </w:tc>
      </w:tr>
      <w:tr>
        <w:tc>
          <w:tcPr>
            <w:tcW w:type="dxa" w:w="2484"/>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Obiettivo</w:t>
            </w:r>
          </w:p>
        </w:tc>
        <w:tc>
          <w:tcPr>
            <w:tcW w:type="dxa" w:w="2484"/>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Individuare, proteggere, conservare</w:t>
            </w:r>
          </w:p>
        </w:tc>
        <w:tc>
          <w:tcPr>
            <w:tcW w:type="dxa" w:w="2484"/>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Promuovere la conoscenza, migliorare condizioni d'uso</w:t>
            </w:r>
          </w:p>
        </w:tc>
        <w:tc>
          <w:tcPr>
            <w:tcW w:type="dxa" w:w="2484"/>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Garantire l'accesso pubblico universale</w:t>
            </w:r>
          </w:p>
        </w:tc>
      </w:tr>
      <w:tr>
        <w:tc>
          <w:tcPr>
            <w:tcW w:type="dxa" w:w="2484"/>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Competenza Costituzionale</w:t>
            </w:r>
          </w:p>
        </w:tc>
        <w:tc>
          <w:tcPr>
            <w:tcW w:type="dxa" w:w="2484"/>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Esclusiva dello Stato (Art. 117 c. 2 lett. s)</w:t>
            </w:r>
          </w:p>
        </w:tc>
        <w:tc>
          <w:tcPr>
            <w:tcW w:type="dxa" w:w="2484"/>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Concorrente Stato-Regioni (Art. 117 c. 3)</w:t>
            </w:r>
          </w:p>
        </w:tc>
        <w:tc>
          <w:tcPr>
            <w:tcW w:type="dxa" w:w="2484"/>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Disciplinata dallo Stato per beni statali, Regioni per gli altri</w:t>
            </w:r>
          </w:p>
        </w:tc>
      </w:tr>
      <w:tr>
        <w:tc>
          <w:tcPr>
            <w:tcW w:type="dxa" w:w="2484"/>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Soggetti attuatori</w:t>
            </w:r>
          </w:p>
        </w:tc>
        <w:tc>
          <w:tcPr>
            <w:tcW w:type="dxa" w:w="2484"/>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MiC, Soprintendenze</w:t>
            </w:r>
          </w:p>
        </w:tc>
        <w:tc>
          <w:tcPr>
            <w:tcW w:type="dxa" w:w="2484"/>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MiC, Regioni, Comuni, Privati</w:t>
            </w:r>
          </w:p>
        </w:tc>
        <w:tc>
          <w:tcPr>
            <w:tcW w:type="dxa" w:w="2484"/>
            <w:vAlign w:val="center"/>
            <w:tcMar>
              <w:top w:w="120" w:type="dxa"/>
              <w:bottom w:w="120" w:type="dxa"/>
              <w:left w:w="160" w:type="dxa"/>
              <w:right w:w="160" w:type="dxa"/>
            </w:tcMar>
            <w:shd w:fill="F4F7FB"/>
          </w:tcPr>
          <w:p>
            <w:pPr>
              <w:spacing w:before="40" w:after="40" w:line="276" w:lineRule="auto"/>
            </w:pPr>
            <w:r>
              <w:rPr>
                <w:rFonts w:ascii="Calibri" w:hAnsi="Calibri"/>
                <w:color w:val="2C3E50"/>
                <w:sz w:val="19"/>
              </w:rPr>
              <w:t>Musei, istituti della cultura, visitatori</w:t>
            </w:r>
          </w:p>
        </w:tc>
      </w:tr>
      <w:tr>
        <w:tc>
          <w:tcPr>
            <w:tcW w:type="dxa" w:w="2484"/>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Rapporto gerarchico</w:t>
            </w:r>
          </w:p>
        </w:tc>
        <w:tc>
          <w:tcPr>
            <w:tcW w:type="dxa" w:w="2484"/>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Prevale sempre (limite invalicabile)</w:t>
            </w:r>
          </w:p>
        </w:tc>
        <w:tc>
          <w:tcPr>
            <w:tcW w:type="dxa" w:w="2484"/>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Subordinata alla tutela</w:t>
            </w:r>
          </w:p>
        </w:tc>
        <w:tc>
          <w:tcPr>
            <w:tcW w:type="dxa" w:w="2484"/>
            <w:vAlign w:val="center"/>
            <w:tcMar>
              <w:top w:w="120" w:type="dxa"/>
              <w:bottom w:w="120" w:type="dxa"/>
              <w:left w:w="160" w:type="dxa"/>
              <w:right w:w="160" w:type="dxa"/>
            </w:tcMar>
            <w:shd w:fill="FFFFFF"/>
          </w:tcPr>
          <w:p>
            <w:pPr>
              <w:spacing w:before="40" w:after="40" w:line="276" w:lineRule="auto"/>
            </w:pPr>
            <w:r>
              <w:rPr>
                <w:rFonts w:ascii="Calibri" w:hAnsi="Calibri"/>
                <w:color w:val="2C3E50"/>
                <w:sz w:val="19"/>
              </w:rPr>
              <w:t>Fine ultimo comune</w:t>
            </w:r>
          </w:p>
        </w:tc>
      </w:tr>
    </w:tbl>
    <w:p>
      <w:pPr>
        <w:spacing w:before="80" w:after="80"/>
      </w:pPr>
    </w:p>
    <w:p>
      <w:pPr>
        <w:keepNext/>
        <w:spacing w:before="200" w:after="60"/>
      </w:pPr>
      <w:r>
        <w:rPr>
          <w:rFonts w:ascii="Calibri" w:hAnsi="Calibri"/>
          <w:b/>
          <w:color w:val="2980B9"/>
          <w:sz w:val="23"/>
        </w:rPr>
        <w:t>Domande Tipiche d'Esame e Risposte Sintetiche per il Ripasso</w:t>
      </w:r>
    </w:p>
    <w:p>
      <w:pPr>
        <w:pStyle w:val="ListNumber"/>
        <w:spacing w:before="30" w:after="30" w:line="276" w:lineRule="auto"/>
      </w:pPr>
      <w:r>
        <w:rPr>
          <w:rFonts w:ascii="Calibri" w:hAnsi="Calibri"/>
          <w:color w:val="2C3E50"/>
          <w:sz w:val="21"/>
        </w:rPr>
      </w:r>
      <w:r>
        <w:rPr>
          <w:rFonts w:ascii="Calibri" w:hAnsi="Calibri"/>
          <w:b/>
          <w:color w:val="2C3E50"/>
          <w:sz w:val="21"/>
        </w:rPr>
        <w:t>D: A chi appartiene la potestà legislativa in materia di turismo?</w:t>
      </w:r>
      <w:r>
        <w:rPr>
          <w:rFonts w:ascii="Calibri" w:hAnsi="Calibri"/>
          <w:color w:val="2C3E50"/>
          <w:sz w:val="21"/>
        </w:rPr>
      </w:r>
    </w:p>
    <w:p>
      <w:pPr>
        <w:spacing w:before="40" w:after="60" w:line="276" w:lineRule="auto"/>
      </w:pPr>
      <w:r>
        <w:rPr>
          <w:rFonts w:ascii="Calibri" w:hAnsi="Calibri"/>
          <w:color w:val="2C3E50"/>
          <w:sz w:val="21"/>
        </w:rPr>
        <w:t>*R: Alle Regioni in via residuale ed esclusiva (art. 117, comma 4 Cost.), fermi restando i limiti delle competenze statali trasversali (tutela della concorrenza, ordinamento civile, LEP, beni culturali).*</w:t>
      </w:r>
    </w:p>
    <w:p>
      <w:pPr>
        <w:pStyle w:val="ListNumber"/>
        <w:spacing w:before="30" w:after="30" w:line="276" w:lineRule="auto"/>
      </w:pPr>
      <w:r>
        <w:rPr>
          <w:rFonts w:ascii="Calibri" w:hAnsi="Calibri"/>
          <w:color w:val="2C3E50"/>
          <w:sz w:val="21"/>
        </w:rPr>
      </w:r>
      <w:r>
        <w:rPr>
          <w:rFonts w:ascii="Calibri" w:hAnsi="Calibri"/>
          <w:b/>
          <w:color w:val="2C3E50"/>
          <w:sz w:val="21"/>
        </w:rPr>
        <w:t>D: Quali sono le differenze legali tra un pacchetto turistico e un servizio turistico collegato?</w:t>
      </w:r>
      <w:r>
        <w:rPr>
          <w:rFonts w:ascii="Calibri" w:hAnsi="Calibri"/>
          <w:color w:val="2C3E50"/>
          <w:sz w:val="21"/>
        </w:rPr>
      </w:r>
    </w:p>
    <w:p>
      <w:pPr>
        <w:spacing w:before="40" w:after="60" w:line="276" w:lineRule="auto"/>
      </w:pPr>
      <w:r>
        <w:rPr>
          <w:rFonts w:ascii="Calibri" w:hAnsi="Calibri"/>
          <w:color w:val="2C3E50"/>
          <w:sz w:val="21"/>
        </w:rPr>
        <w:t>*R: Il pacchetto turistico prevede la combinazione di almeno 2 servizi turistici diversi venduti insieme con responsabilità solidale dell'organizzatore per l'intera vacanza e massima tutela (recesso, insolvenza, risarcimento vacanza rovinata). Il servizio collegato (STC) consiste in contratti separati con singoli fornitori agevolati da un professionista entro 24 ore; la protezione si limita all'insolvenza del professionista agevolatore.*</w:t>
      </w:r>
    </w:p>
    <w:p>
      <w:pPr>
        <w:pStyle w:val="ListNumber"/>
        <w:spacing w:before="30" w:after="30" w:line="276" w:lineRule="auto"/>
      </w:pPr>
      <w:r>
        <w:rPr>
          <w:rFonts w:ascii="Calibri" w:hAnsi="Calibri"/>
          <w:color w:val="2C3E50"/>
          <w:sz w:val="21"/>
        </w:rPr>
      </w:r>
      <w:r>
        <w:rPr>
          <w:rFonts w:ascii="Calibri" w:hAnsi="Calibri"/>
          <w:b/>
          <w:color w:val="2C3E50"/>
          <w:sz w:val="21"/>
        </w:rPr>
        <w:t>D: Qual è la sanzione per chi esercita abusivamente la professione di guida turistica senza iscrizione all'Elenco nazionale?</w:t>
      </w:r>
      <w:r>
        <w:rPr>
          <w:rFonts w:ascii="Calibri" w:hAnsi="Calibri"/>
          <w:color w:val="2C3E50"/>
          <w:sz w:val="21"/>
        </w:rPr>
      </w:r>
    </w:p>
    <w:p>
      <w:pPr>
        <w:spacing w:before="40" w:after="60" w:line="276" w:lineRule="auto"/>
      </w:pPr>
      <w:r>
        <w:rPr>
          <w:rFonts w:ascii="Calibri" w:hAnsi="Calibri"/>
          <w:color w:val="2C3E50"/>
          <w:sz w:val="21"/>
        </w:rPr>
        <w:t>*R: Sanzione amministrativa pecuniaria da 3.000 a 12.000 euro (Art. 12, comma 5 L. 190/2023).*</w:t>
      </w:r>
    </w:p>
    <w:p>
      <w:pPr>
        <w:pStyle w:val="ListNumber"/>
        <w:spacing w:before="30" w:after="30" w:line="276" w:lineRule="auto"/>
      </w:pPr>
      <w:r>
        <w:rPr>
          <w:rFonts w:ascii="Calibri" w:hAnsi="Calibri"/>
          <w:color w:val="2C3E50"/>
          <w:sz w:val="21"/>
        </w:rPr>
      </w:r>
      <w:r>
        <w:rPr>
          <w:rFonts w:ascii="Calibri" w:hAnsi="Calibri"/>
          <w:b/>
          <w:color w:val="2C3E50"/>
          <w:sz w:val="21"/>
        </w:rPr>
        <w:t>D: A cosa dà diritto il tesserino personale della guida turistica rilasciato dal Ministero?</w:t>
      </w:r>
      <w:r>
        <w:rPr>
          <w:rFonts w:ascii="Calibri" w:hAnsi="Calibri"/>
          <w:color w:val="2C3E50"/>
          <w:sz w:val="21"/>
        </w:rPr>
      </w:r>
    </w:p>
    <w:p>
      <w:pPr>
        <w:spacing w:before="40" w:after="60" w:line="276" w:lineRule="auto"/>
      </w:pPr>
      <w:r>
        <w:rPr>
          <w:rFonts w:ascii="Calibri" w:hAnsi="Calibri"/>
          <w:color w:val="2C3E50"/>
          <w:sz w:val="21"/>
        </w:rPr>
        <w:t>*R: Dà diritto all'ingresso gratuito in tutti i musei, gallerie, parchi archeologici e monumenti dello Stato, delle Regioni, degli enti locali e dei siti privati convenzionati (Art. 9 L. 190/2023).*</w:t>
      </w:r>
    </w:p>
    <w:p>
      <w:pPr>
        <w:pStyle w:val="ListNumber"/>
        <w:spacing w:before="30" w:after="30" w:line="276" w:lineRule="auto"/>
      </w:pPr>
      <w:r>
        <w:rPr>
          <w:rFonts w:ascii="Calibri" w:hAnsi="Calibri"/>
          <w:color w:val="2C3E50"/>
          <w:sz w:val="21"/>
        </w:rPr>
      </w:r>
      <w:r>
        <w:rPr>
          <w:rFonts w:ascii="Calibri" w:hAnsi="Calibri"/>
          <w:b/>
          <w:color w:val="2C3E50"/>
          <w:sz w:val="21"/>
        </w:rPr>
        <w:t>D: Quali sono i requisiti di accesso all'esame nazionale di guida turistica?</w:t>
      </w:r>
      <w:r>
        <w:rPr>
          <w:rFonts w:ascii="Calibri" w:hAnsi="Calibri"/>
          <w:color w:val="2C3E50"/>
          <w:sz w:val="21"/>
        </w:rPr>
      </w:r>
    </w:p>
    <w:p>
      <w:pPr>
        <w:spacing w:before="40" w:after="60" w:line="276" w:lineRule="auto"/>
      </w:pPr>
      <w:r>
        <w:rPr>
          <w:rFonts w:ascii="Calibri" w:hAnsi="Calibri"/>
          <w:color w:val="2C3E50"/>
          <w:sz w:val="21"/>
        </w:rPr>
        <w:t>*R: Maggiore età, cittadinanza UE o regolare soggiorno, assenza condanne ostative, laurea (almeno triennale), conoscenza certificata di 2 lingue straniere (una a livello C1 e una a livello B2); per candidati stranieri, lingua italiana C1.*</w:t>
      </w:r>
    </w:p>
    <w:p>
      <w:pPr>
        <w:pStyle w:val="ListNumber"/>
        <w:spacing w:before="30" w:after="30" w:line="276" w:lineRule="auto"/>
      </w:pPr>
      <w:r>
        <w:rPr>
          <w:rFonts w:ascii="Calibri" w:hAnsi="Calibri"/>
          <w:color w:val="2C3E50"/>
          <w:sz w:val="21"/>
        </w:rPr>
      </w:r>
      <w:r>
        <w:rPr>
          <w:rFonts w:ascii="Calibri" w:hAnsi="Calibri"/>
          <w:b/>
          <w:color w:val="2C3E50"/>
          <w:sz w:val="21"/>
        </w:rPr>
        <w:t>D: Quale principio sancisce la norma ISO 21902:2021 in materia di prezzi dei servizi accessibili?</w:t>
      </w:r>
      <w:r>
        <w:rPr>
          <w:rFonts w:ascii="Calibri" w:hAnsi="Calibri"/>
          <w:color w:val="2C3E50"/>
          <w:sz w:val="21"/>
        </w:rPr>
      </w:r>
    </w:p>
    <w:p>
      <w:pPr>
        <w:spacing w:before="40" w:after="60" w:line="276" w:lineRule="auto"/>
      </w:pPr>
      <w:r>
        <w:rPr>
          <w:rFonts w:ascii="Calibri" w:hAnsi="Calibri"/>
          <w:color w:val="2C3E50"/>
          <w:sz w:val="21"/>
        </w:rPr>
        <w:t>*R: Il principio del "No surcharge" (divieto assoluto di sovrapprezzo per camere, percorsi o servizi accessibili a persone con disabilità).*</w:t>
      </w:r>
    </w:p>
    <w:p>
      <w:pPr>
        <w:pStyle w:val="ListNumber"/>
        <w:spacing w:before="30" w:after="30" w:line="276" w:lineRule="auto"/>
      </w:pPr>
      <w:r>
        <w:rPr>
          <w:rFonts w:ascii="Calibri" w:hAnsi="Calibri"/>
          <w:color w:val="2C3E50"/>
          <w:sz w:val="21"/>
        </w:rPr>
      </w:r>
      <w:r>
        <w:rPr>
          <w:rFonts w:ascii="Calibri" w:hAnsi="Calibri"/>
          <w:b/>
          <w:color w:val="2C3E50"/>
          <w:sz w:val="21"/>
        </w:rPr>
        <w:t>D: Quale importante agevolazione economica è stata introdotta nel 2024 per l'accesso agli spettacoli e luoghi culturali delle persone con disabilità?</w:t>
      </w:r>
      <w:r>
        <w:rPr>
          <w:rFonts w:ascii="Calibri" w:hAnsi="Calibri"/>
          <w:color w:val="2C3E50"/>
          <w:sz w:val="21"/>
        </w:rPr>
      </w:r>
    </w:p>
    <w:p>
      <w:pPr>
        <w:spacing w:before="40" w:after="60" w:line="276" w:lineRule="auto"/>
      </w:pPr>
      <w:r>
        <w:rPr>
          <w:rFonts w:ascii="Calibri" w:hAnsi="Calibri"/>
          <w:color w:val="2C3E50"/>
          <w:sz w:val="21"/>
        </w:rPr>
        <w:t>*R: L'art. 23-bis della L. 104/1992 prevede la gratuità del biglietto d'ingresso per l'accompagnatore della persona con invalidità pari o superiore al 67%.*</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