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9FE6" w14:textId="30F14777" w:rsidR="00A77DDC" w:rsidRDefault="00A77DDC" w:rsidP="00A77DDC">
      <w:pPr>
        <w:pStyle w:val="NormalWeb"/>
      </w:pPr>
      <w:r>
        <w:t xml:space="preserve">Alex Goldhamer </w:t>
      </w:r>
    </w:p>
    <w:p w14:paraId="4D7B8A60" w14:textId="4A0582E9" w:rsidR="00385025" w:rsidRDefault="00385025" w:rsidP="00A77DDC">
      <w:pPr>
        <w:pStyle w:val="NormalWeb"/>
      </w:pPr>
      <w:r>
        <w:t>Narrative of visualization and statistical tests steps</w:t>
      </w:r>
    </w:p>
    <w:p w14:paraId="7CAEE443" w14:textId="4247A19A" w:rsidR="00A77DDC" w:rsidRPr="00DD6459" w:rsidRDefault="00A77DDC" w:rsidP="00A77DDC">
      <w:pPr>
        <w:pStyle w:val="NormalWeb"/>
      </w:pPr>
      <w:r w:rsidRPr="00A77DDC">
        <w:t>To examine the role of YY1 in stress responses, we used forebrain excitatory neuron-specific YY1 knockout mice (</w:t>
      </w:r>
      <w:proofErr w:type="spellStart"/>
      <w:r w:rsidRPr="00A77DDC">
        <w:t>floxed</w:t>
      </w:r>
      <w:proofErr w:type="spellEnd"/>
      <w:r w:rsidRPr="00A77DDC">
        <w:t xml:space="preserve"> YY1 + Nex-Cre) and subjected them to an abbreviated chronic </w:t>
      </w:r>
      <w:r w:rsidRPr="0070010B">
        <w:t>unpredictable stress (</w:t>
      </w:r>
      <w:proofErr w:type="spellStart"/>
      <w:r w:rsidR="00A95C96">
        <w:t>a</w:t>
      </w:r>
      <w:r w:rsidRPr="0070010B">
        <w:t>CUS</w:t>
      </w:r>
      <w:proofErr w:type="spellEnd"/>
      <w:r w:rsidRPr="0070010B">
        <w:t>) paradigm. Both male and female mice were analyzed, with experimental factors including genotype, sex, and stress exposure. Behavioral assessments were followed by RNA sequencing (RNA-seq) and quantitative PCR (qPCR) to quantify gene expression changes.</w:t>
      </w:r>
    </w:p>
    <w:p w14:paraId="5C77E1FD" w14:textId="2047E2B4" w:rsidR="00A77DDC" w:rsidRPr="00DD6459" w:rsidRDefault="00A77DDC" w:rsidP="00A77DDC">
      <w:pPr>
        <w:pStyle w:val="NormalWeb"/>
      </w:pPr>
      <w:r w:rsidRPr="00DD6459">
        <w:t xml:space="preserve">For RNA-seq, raw FASTQ files were first aligned to the reference genome to determine the genomic origin of sequencing reads. Using gene annotations, </w:t>
      </w:r>
      <w:proofErr w:type="spellStart"/>
      <w:r w:rsidRPr="00DD6459">
        <w:t>FeatureCounts</w:t>
      </w:r>
      <w:proofErr w:type="spellEnd"/>
      <w:r w:rsidRPr="00DD6459">
        <w:t xml:space="preserve"> counted the number of reads mapping to each gene. These gene counts were then analyzed using DESeq2, which models RNA-seq read counts with a </w:t>
      </w:r>
      <w:r w:rsidRPr="00DD6459">
        <w:rPr>
          <w:rStyle w:val="Strong"/>
          <w:rFonts w:eastAsiaTheme="majorEastAsia"/>
          <w:b w:val="0"/>
          <w:bCs w:val="0"/>
        </w:rPr>
        <w:t>negative binomial generalized linear model (NB-GLM)</w:t>
      </w:r>
      <w:r w:rsidRPr="00DD6459">
        <w:rPr>
          <w:b/>
          <w:bCs/>
        </w:rPr>
        <w:t>.</w:t>
      </w:r>
      <w:r w:rsidRPr="00DD6459">
        <w:t xml:space="preserve"> This approach accounts for </w:t>
      </w:r>
      <w:r w:rsidRPr="00DD6459">
        <w:rPr>
          <w:rStyle w:val="Strong"/>
          <w:rFonts w:eastAsiaTheme="majorEastAsia"/>
          <w:b w:val="0"/>
          <w:bCs w:val="0"/>
        </w:rPr>
        <w:t>overdispersion</w:t>
      </w:r>
      <w:r w:rsidR="00BA495E">
        <w:t xml:space="preserve">, which </w:t>
      </w:r>
      <w:r w:rsidRPr="00DD6459">
        <w:t>allow</w:t>
      </w:r>
      <w:r w:rsidR="00BA495E">
        <w:t xml:space="preserve">s for </w:t>
      </w:r>
      <w:proofErr w:type="spellStart"/>
      <w:r w:rsidRPr="00DD6459">
        <w:t>more</w:t>
      </w:r>
      <w:proofErr w:type="spellEnd"/>
      <w:r w:rsidRPr="00DD6459">
        <w:t xml:space="preserve"> accurate modeling than a simple Poisson approach. DESeq2 also incorporates predictors such as genotype, sex, and stress treatment to estimate log fold changes between conditions. Hypothesis testing for each gene was conducted using </w:t>
      </w:r>
      <w:r w:rsidRPr="00DD6459">
        <w:rPr>
          <w:rStyle w:val="Strong"/>
          <w:rFonts w:eastAsiaTheme="majorEastAsia"/>
          <w:b w:val="0"/>
          <w:bCs w:val="0"/>
        </w:rPr>
        <w:t>Wald tests</w:t>
      </w:r>
      <w:r w:rsidRPr="00DD6459">
        <w:t xml:space="preserve">, assessing whether coefficients for these predictors significantly differed from zero. Multiple testing was controlled using the </w:t>
      </w:r>
      <w:r w:rsidRPr="00DD6459">
        <w:rPr>
          <w:rStyle w:val="Strong"/>
          <w:rFonts w:eastAsiaTheme="majorEastAsia"/>
          <w:b w:val="0"/>
          <w:bCs w:val="0"/>
        </w:rPr>
        <w:t>Benjamini-Hochberg procedure</w:t>
      </w:r>
      <w:r w:rsidRPr="00DD6459">
        <w:t>, producing adjusted p-values to reduce false discovery.</w:t>
      </w:r>
    </w:p>
    <w:p w14:paraId="7E25864A" w14:textId="290A024A" w:rsidR="00A77DDC" w:rsidRPr="00DD6459" w:rsidRDefault="00A77DDC" w:rsidP="00A77DDC">
      <w:pPr>
        <w:pStyle w:val="NormalWeb"/>
      </w:pPr>
      <w:r w:rsidRPr="00DD6459">
        <w:t xml:space="preserve">To visualize RNA-seq results, we generated </w:t>
      </w:r>
      <w:r w:rsidRPr="00DD6459">
        <w:rPr>
          <w:rStyle w:val="Strong"/>
          <w:rFonts w:eastAsiaTheme="majorEastAsia"/>
          <w:b w:val="0"/>
          <w:bCs w:val="0"/>
        </w:rPr>
        <w:t>volcano plots</w:t>
      </w:r>
      <w:r w:rsidRPr="00DD6459">
        <w:t>, with log2 fold change on the x-axis and –log10 adjusted p-value on the y-axis. Each point represents a single gene, allowing a transparent view of the relationship between effect size and confidence. Genes near the center and low on the y-axis correspond to baseline noise, whereas genes distant from the center and high on the y-axis indicate strong, statistically significant transcriptional changes. This method clearly illustrates both biological signal and experimental variability</w:t>
      </w:r>
      <w:r w:rsidR="00DD308D">
        <w:t>.</w:t>
      </w:r>
    </w:p>
    <w:p w14:paraId="009DCDDB" w14:textId="086C7366" w:rsidR="00A77DDC" w:rsidRPr="0070010B" w:rsidRDefault="00A77DDC" w:rsidP="00A77DDC">
      <w:pPr>
        <w:pStyle w:val="NormalWeb"/>
      </w:pPr>
      <w:r w:rsidRPr="00DD6459">
        <w:t xml:space="preserve">qPCR validation focused on candidate genes, such as </w:t>
      </w:r>
      <w:r w:rsidRPr="00DD308D">
        <w:rPr>
          <w:i/>
          <w:iCs/>
        </w:rPr>
        <w:t>Nr3c1</w:t>
      </w:r>
      <w:r w:rsidRPr="00DD6459">
        <w:t>, comparing expression between groups. Data were first evaluated for normality and log</w:t>
      </w:r>
      <w:r w:rsidR="00DD308D">
        <w:t xml:space="preserve"> </w:t>
      </w:r>
      <w:r w:rsidRPr="00DD6459">
        <w:t xml:space="preserve">transformed. For comparisons between two independent groups, a </w:t>
      </w:r>
      <w:r w:rsidRPr="00DD6459">
        <w:rPr>
          <w:rStyle w:val="Strong"/>
          <w:rFonts w:eastAsiaTheme="majorEastAsia"/>
          <w:b w:val="0"/>
          <w:bCs w:val="0"/>
        </w:rPr>
        <w:t>two-sample t-test</w:t>
      </w:r>
      <w:r w:rsidRPr="00DD6459">
        <w:t xml:space="preserve"> was applied to test the null hypothesis that the group means were equal. When more than two groups were compared, ANOVA was employed. Power analysis was conducted to determine the number of animals required to achieve at least 80% power to detect meaningful</w:t>
      </w:r>
      <w:r w:rsidRPr="0070010B">
        <w:t xml:space="preserve"> differences in gene expression. For visualization, individual biological replicates were plotted alongside group means, </w:t>
      </w:r>
      <w:r w:rsidR="00DA2D46">
        <w:t>showing</w:t>
      </w:r>
      <w:r w:rsidRPr="0070010B">
        <w:t xml:space="preserve"> both variability and effect size. This approach allows clear interpretation of the raw data</w:t>
      </w:r>
      <w:r w:rsidR="001130AA">
        <w:t>.</w:t>
      </w:r>
    </w:p>
    <w:p w14:paraId="74ACF38D" w14:textId="77777777" w:rsidR="00012F57" w:rsidRPr="00A77DDC" w:rsidRDefault="00012F57" w:rsidP="00A77DDC"/>
    <w:sectPr w:rsidR="00012F57" w:rsidRPr="00A77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DC"/>
    <w:rsid w:val="00012F57"/>
    <w:rsid w:val="001130AA"/>
    <w:rsid w:val="00385025"/>
    <w:rsid w:val="0070010B"/>
    <w:rsid w:val="009C2B10"/>
    <w:rsid w:val="009E63A5"/>
    <w:rsid w:val="00A77DDC"/>
    <w:rsid w:val="00A95C96"/>
    <w:rsid w:val="00BA495E"/>
    <w:rsid w:val="00DA2D46"/>
    <w:rsid w:val="00DD308D"/>
    <w:rsid w:val="00DD6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977011"/>
  <w15:chartTrackingRefBased/>
  <w15:docId w15:val="{56C9605A-3AB1-8649-881F-3378BBD9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DDC"/>
    <w:rPr>
      <w:rFonts w:eastAsiaTheme="majorEastAsia" w:cstheme="majorBidi"/>
      <w:color w:val="272727" w:themeColor="text1" w:themeTint="D8"/>
    </w:rPr>
  </w:style>
  <w:style w:type="paragraph" w:styleId="Title">
    <w:name w:val="Title"/>
    <w:basedOn w:val="Normal"/>
    <w:next w:val="Normal"/>
    <w:link w:val="TitleChar"/>
    <w:uiPriority w:val="10"/>
    <w:qFormat/>
    <w:rsid w:val="00A7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DDC"/>
    <w:pPr>
      <w:spacing w:before="160"/>
      <w:jc w:val="center"/>
    </w:pPr>
    <w:rPr>
      <w:i/>
      <w:iCs/>
      <w:color w:val="404040" w:themeColor="text1" w:themeTint="BF"/>
    </w:rPr>
  </w:style>
  <w:style w:type="character" w:customStyle="1" w:styleId="QuoteChar">
    <w:name w:val="Quote Char"/>
    <w:basedOn w:val="DefaultParagraphFont"/>
    <w:link w:val="Quote"/>
    <w:uiPriority w:val="29"/>
    <w:rsid w:val="00A77DDC"/>
    <w:rPr>
      <w:i/>
      <w:iCs/>
      <w:color w:val="404040" w:themeColor="text1" w:themeTint="BF"/>
    </w:rPr>
  </w:style>
  <w:style w:type="paragraph" w:styleId="ListParagraph">
    <w:name w:val="List Paragraph"/>
    <w:basedOn w:val="Normal"/>
    <w:uiPriority w:val="34"/>
    <w:qFormat/>
    <w:rsid w:val="00A77DDC"/>
    <w:pPr>
      <w:ind w:left="720"/>
      <w:contextualSpacing/>
    </w:pPr>
  </w:style>
  <w:style w:type="character" w:styleId="IntenseEmphasis">
    <w:name w:val="Intense Emphasis"/>
    <w:basedOn w:val="DefaultParagraphFont"/>
    <w:uiPriority w:val="21"/>
    <w:qFormat/>
    <w:rsid w:val="00A77DDC"/>
    <w:rPr>
      <w:i/>
      <w:iCs/>
      <w:color w:val="0F4761" w:themeColor="accent1" w:themeShade="BF"/>
    </w:rPr>
  </w:style>
  <w:style w:type="paragraph" w:styleId="IntenseQuote">
    <w:name w:val="Intense Quote"/>
    <w:basedOn w:val="Normal"/>
    <w:next w:val="Normal"/>
    <w:link w:val="IntenseQuoteChar"/>
    <w:uiPriority w:val="30"/>
    <w:qFormat/>
    <w:rsid w:val="00A77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DDC"/>
    <w:rPr>
      <w:i/>
      <w:iCs/>
      <w:color w:val="0F4761" w:themeColor="accent1" w:themeShade="BF"/>
    </w:rPr>
  </w:style>
  <w:style w:type="character" w:styleId="IntenseReference">
    <w:name w:val="Intense Reference"/>
    <w:basedOn w:val="DefaultParagraphFont"/>
    <w:uiPriority w:val="32"/>
    <w:qFormat/>
    <w:rsid w:val="00A77DDC"/>
    <w:rPr>
      <w:b/>
      <w:bCs/>
      <w:smallCaps/>
      <w:color w:val="0F4761" w:themeColor="accent1" w:themeShade="BF"/>
      <w:spacing w:val="5"/>
    </w:rPr>
  </w:style>
  <w:style w:type="paragraph" w:styleId="NormalWeb">
    <w:name w:val="Normal (Web)"/>
    <w:basedOn w:val="Normal"/>
    <w:uiPriority w:val="99"/>
    <w:semiHidden/>
    <w:unhideWhenUsed/>
    <w:rsid w:val="00A77D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7D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Goldhamer, Alexandra A</dc:creator>
  <cp:keywords/>
  <dc:description/>
  <cp:lastModifiedBy>Goldhamer, Alexandra A</cp:lastModifiedBy>
  <cp:revision>10</cp:revision>
  <dcterms:created xsi:type="dcterms:W3CDTF">2025-12-02T00:43:00Z</dcterms:created>
  <dcterms:modified xsi:type="dcterms:W3CDTF">2025-12-02T00:49:00Z</dcterms:modified>
</cp:coreProperties>
</file>