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E04" w:rsidRPr="00BA4025" w:rsidRDefault="00CA4E04" w:rsidP="00BA4025">
      <w:pPr>
        <w:rPr>
          <w:rFonts w:eastAsia="Times New Roman"/>
          <w:sz w:val="36"/>
          <w:szCs w:val="36"/>
        </w:rPr>
      </w:pPr>
      <w:r w:rsidRPr="00BA4025">
        <w:rPr>
          <w:rFonts w:eastAsia="Times New Roman"/>
          <w:sz w:val="36"/>
          <w:szCs w:val="36"/>
        </w:rPr>
        <w:t>The Effect of E-Cigarette Regulation on Youth Smoking Incidence: An Empirical Analysis</w:t>
      </w:r>
    </w:p>
    <w:p w:rsidR="00BA4025" w:rsidRPr="00BA4025" w:rsidRDefault="00BA4025" w:rsidP="00BA4025">
      <w:pPr>
        <w:rPr>
          <w:rFonts w:eastAsia="Times New Roman"/>
          <w:sz w:val="28"/>
          <w:szCs w:val="28"/>
        </w:rPr>
      </w:pPr>
      <w:r>
        <w:rPr>
          <w:rFonts w:eastAsia="Times New Roman"/>
          <w:sz w:val="28"/>
          <w:szCs w:val="28"/>
        </w:rPr>
        <w:t>Alex Goldsmith</w:t>
      </w:r>
    </w:p>
    <w:p w:rsidR="00BA4025" w:rsidRPr="00CA4E04" w:rsidRDefault="00BA4025" w:rsidP="00BA4025">
      <w:pPr>
        <w:jc w:val="center"/>
        <w:rPr>
          <w:rFonts w:eastAsia="Times New Roman"/>
          <w:sz w:val="32"/>
          <w:szCs w:val="32"/>
        </w:rPr>
      </w:pPr>
    </w:p>
    <w:p w:rsidR="00CA4E04" w:rsidRDefault="00CA4E04">
      <w:pPr>
        <w:rPr>
          <w:rFonts w:eastAsia="Times New Roman"/>
          <w:b/>
        </w:rPr>
      </w:pPr>
    </w:p>
    <w:p w:rsidR="0012055B" w:rsidRDefault="004610A3">
      <w:pPr>
        <w:rPr>
          <w:rFonts w:eastAsia="Times New Roman"/>
          <w:b/>
        </w:rPr>
      </w:pPr>
      <w:r>
        <w:rPr>
          <w:rFonts w:eastAsia="Times New Roman"/>
          <w:b/>
        </w:rPr>
        <w:t>Introduction</w:t>
      </w:r>
    </w:p>
    <w:p w:rsidR="0012055B" w:rsidRDefault="004610A3">
      <w:pPr>
        <w:rPr>
          <w:rFonts w:eastAsia="Times New Roman"/>
          <w:sz w:val="20"/>
          <w:szCs w:val="20"/>
        </w:rPr>
      </w:pPr>
      <w:r>
        <w:rPr>
          <w:rFonts w:eastAsia="Times New Roman"/>
          <w:sz w:val="20"/>
          <w:szCs w:val="20"/>
        </w:rPr>
        <w:t>*Note on terminology: as the term ‘e-cigarettes’ can refer either to specifically electronic devices shaped like cigarettes or more generally to a range of devices that deliver nicotine through aerosolization of a liquid, I adopt the term Electronic Nicotine Delivery System, or ENDS, used by the CDC and various authors in the literature.</w:t>
      </w:r>
    </w:p>
    <w:p w:rsidR="0012055B" w:rsidRDefault="0012055B">
      <w:pPr>
        <w:rPr>
          <w:rFonts w:eastAsia="Times New Roman"/>
        </w:rPr>
      </w:pPr>
    </w:p>
    <w:p w:rsidR="0012055B" w:rsidRDefault="004610A3" w:rsidP="00063513">
      <w:pPr>
        <w:spacing w:line="480" w:lineRule="auto"/>
        <w:ind w:firstLine="720"/>
        <w:rPr>
          <w:rFonts w:eastAsia="Times New Roman"/>
        </w:rPr>
      </w:pPr>
      <w:r>
        <w:rPr>
          <w:rFonts w:eastAsia="Times New Roman"/>
        </w:rPr>
        <w:t>In recent years there has been an explosive increase in adolescent use of ENDS to the extent of being termed as an “epidemic” by the FDA and CDC</w:t>
      </w:r>
      <w:r w:rsidR="0001207D">
        <w:rPr>
          <w:rStyle w:val="EndnoteReference"/>
          <w:rFonts w:eastAsia="Times New Roman"/>
        </w:rPr>
        <w:endnoteReference w:id="1"/>
      </w:r>
      <w:r>
        <w:rPr>
          <w:rFonts w:eastAsia="Times New Roman"/>
        </w:rPr>
        <w:t xml:space="preserve">. This dramatic and visible trend has not escaped the attention of regulators. While the FDA was not granted authority to regulate ENDS until 2016, state regulators have been active since as early as 2010. </w:t>
      </w:r>
      <w:r w:rsidR="003B2F10">
        <w:rPr>
          <w:rFonts w:eastAsia="Times New Roman"/>
        </w:rPr>
        <w:t xml:space="preserve">By 2012, </w:t>
      </w:r>
      <w:r w:rsidR="00FC2B26">
        <w:rPr>
          <w:rFonts w:eastAsia="Times New Roman"/>
        </w:rPr>
        <w:t>twelve states had enacted Minimum Legal Sales Age laws, prohibiting sales of ENDS to minors</w:t>
      </w:r>
      <w:r w:rsidR="00FC2B26">
        <w:rPr>
          <w:rStyle w:val="EndnoteReference"/>
          <w:rFonts w:eastAsia="Times New Roman"/>
        </w:rPr>
        <w:endnoteReference w:id="2"/>
      </w:r>
      <w:r w:rsidR="00FC2B26">
        <w:rPr>
          <w:rFonts w:eastAsia="Times New Roman"/>
        </w:rPr>
        <w:t>. In 2013, twelve more had followed suit. By the time an FDA rule banning sales of ENDS to minors came into effect on August 8</w:t>
      </w:r>
      <w:r w:rsidR="00FC2B26" w:rsidRPr="00FC2B26">
        <w:rPr>
          <w:rFonts w:eastAsia="Times New Roman"/>
          <w:vertAlign w:val="superscript"/>
        </w:rPr>
        <w:t>th</w:t>
      </w:r>
      <w:r w:rsidR="00FC2B26">
        <w:rPr>
          <w:rFonts w:eastAsia="Times New Roman"/>
        </w:rPr>
        <w:t xml:space="preserve">, 2016, 46 states had already passed </w:t>
      </w:r>
      <w:r w:rsidR="006C25C0">
        <w:rPr>
          <w:rFonts w:eastAsia="Times New Roman"/>
        </w:rPr>
        <w:t xml:space="preserve">their own MLSA laws. The bureaucratic slowness of the FDA, while possibly unfortunate for public health, is a boon to researchers. </w:t>
      </w:r>
      <w:r>
        <w:rPr>
          <w:rFonts w:eastAsia="Times New Roman"/>
        </w:rPr>
        <w:t>The pie</w:t>
      </w:r>
      <w:r w:rsidR="006C25C0">
        <w:rPr>
          <w:rFonts w:eastAsia="Times New Roman"/>
        </w:rPr>
        <w:t>cemeal nature of the enactment of ENDS regulation</w:t>
      </w:r>
      <w:r>
        <w:rPr>
          <w:rFonts w:eastAsia="Times New Roman"/>
        </w:rPr>
        <w:t xml:space="preserve"> has created a natural experiment in</w:t>
      </w:r>
      <w:r w:rsidR="006C25C0">
        <w:rPr>
          <w:rFonts w:eastAsia="Times New Roman"/>
        </w:rPr>
        <w:t xml:space="preserve"> which empirical research can be used to investigate</w:t>
      </w:r>
      <w:r>
        <w:rPr>
          <w:rFonts w:eastAsia="Times New Roman"/>
        </w:rPr>
        <w:t xml:space="preserve"> true impact of ENDS </w:t>
      </w:r>
      <w:r w:rsidR="006C25C0">
        <w:rPr>
          <w:rFonts w:eastAsia="Times New Roman"/>
        </w:rPr>
        <w:t>regulation.</w:t>
      </w:r>
    </w:p>
    <w:p w:rsidR="0012055B" w:rsidRDefault="0012055B" w:rsidP="00063513">
      <w:pPr>
        <w:spacing w:line="480" w:lineRule="auto"/>
        <w:ind w:firstLine="720"/>
        <w:rPr>
          <w:rFonts w:eastAsia="Times New Roman"/>
        </w:rPr>
      </w:pPr>
    </w:p>
    <w:p w:rsidR="0012055B" w:rsidRDefault="004610A3" w:rsidP="00063513">
      <w:pPr>
        <w:spacing w:line="480" w:lineRule="auto"/>
        <w:ind w:firstLine="720"/>
        <w:rPr>
          <w:rFonts w:eastAsia="Times New Roman"/>
        </w:rPr>
      </w:pPr>
      <w:r>
        <w:rPr>
          <w:rFonts w:eastAsia="Times New Roman"/>
        </w:rPr>
        <w:t xml:space="preserve">As taught by the esteemed Thomas Hazlett, the purported intent of government regulation can rarely be taken at face value. An even more foolish assumption is that the impact of regulation conforms to its stated intention and yields no unintended consequences. Although the stated intention of the FDA is certainly admirable, the regulation of ENDS is no different than the regulation of any other lucrative enterprise: rents are at play, and interest groups are at work. </w:t>
      </w:r>
      <w:r>
        <w:rPr>
          <w:rFonts w:eastAsia="Times New Roman"/>
        </w:rPr>
        <w:lastRenderedPageBreak/>
        <w:t>“We continue to believe any FDA action to restrict sales of e-cigs to minors will benefit tobacco manufacturers,” says Bonnie Herzog, managing director of equity research at Wells Fargo Securities LLC. Jidong Huang, associate professor of economics at GSU, comments that Juul competitor and tobacco giant Altria didn’t pull its flavored ENDS products because of concerns for the public health. “It’s because it doesn’t affect their bottom line,” Huang states. “It’s very likely that this ban is going to benefit the tobacco industry overall</w:t>
      </w:r>
      <w:r w:rsidR="003B2F10">
        <w:rPr>
          <w:rStyle w:val="EndnoteReference"/>
          <w:rFonts w:eastAsia="Times New Roman"/>
        </w:rPr>
        <w:endnoteReference w:id="3"/>
      </w:r>
      <w:r>
        <w:rPr>
          <w:rFonts w:eastAsia="Times New Roman"/>
        </w:rPr>
        <w:t xml:space="preserve">.” So why are tobacco companies happy about a ban that reduces the attractiveness of their e-cigarettes? The industry, along with a number of experts, believe that ENDS and cigarettes have some measure of substitutability. If the appeal of ENDS is lowered (as the proposed FDA regulations intend) consumers may switch to smoking more harmful combustible cigarettes. </w:t>
      </w:r>
    </w:p>
    <w:p w:rsidR="0012055B" w:rsidRDefault="0012055B" w:rsidP="00063513">
      <w:pPr>
        <w:spacing w:line="480" w:lineRule="auto"/>
        <w:ind w:firstLine="720"/>
        <w:rPr>
          <w:rFonts w:eastAsia="Times New Roman"/>
        </w:rPr>
      </w:pPr>
    </w:p>
    <w:p w:rsidR="0012055B" w:rsidRDefault="004610A3" w:rsidP="00063513">
      <w:pPr>
        <w:spacing w:line="480" w:lineRule="auto"/>
        <w:ind w:firstLine="720"/>
        <w:rPr>
          <w:rFonts w:eastAsia="Times New Roman"/>
        </w:rPr>
      </w:pPr>
      <w:r>
        <w:rPr>
          <w:rFonts w:eastAsia="Times New Roman"/>
        </w:rPr>
        <w:t>To give credit where credit is due, Commissioner of the FDA Scott Gottlieb appears to be aware of this possibility. “I don’t want to create a situation where the combustible products have features that make them more attractive than the non</w:t>
      </w:r>
      <w:r w:rsidR="00DA2B2F">
        <w:rPr>
          <w:rFonts w:eastAsia="Times New Roman"/>
        </w:rPr>
        <w:t>-combustible products,” he tells in a 2018 press statement</w:t>
      </w:r>
      <w:r>
        <w:rPr>
          <w:rFonts w:eastAsia="Times New Roman"/>
        </w:rPr>
        <w:t>. “Or a situation where those who currently use menthol-flavored cigarettes might find it less attractive to switch completely to an e-cigarette.”</w:t>
      </w:r>
      <w:r w:rsidR="00DA2B2F">
        <w:rPr>
          <w:rFonts w:eastAsia="Times New Roman"/>
        </w:rPr>
        <w:t xml:space="preserve"> The bottom line is that i</w:t>
      </w:r>
      <w:r>
        <w:rPr>
          <w:rFonts w:eastAsia="Times New Roman"/>
        </w:rPr>
        <w:t xml:space="preserve">f the proposed regulations are truly in the public interest, they must be shown to be both effective and harmless. That is, the data should show that regulation decreases youth ENDS use without increasing youth smoking. </w:t>
      </w:r>
    </w:p>
    <w:p w:rsidR="0012055B" w:rsidRDefault="0012055B" w:rsidP="00063513">
      <w:pPr>
        <w:spacing w:line="480" w:lineRule="auto"/>
        <w:rPr>
          <w:rFonts w:eastAsia="Times New Roman"/>
        </w:rPr>
      </w:pPr>
    </w:p>
    <w:p w:rsidR="0012055B" w:rsidRDefault="005F4EE1" w:rsidP="00063513">
      <w:pPr>
        <w:spacing w:line="480" w:lineRule="auto"/>
        <w:ind w:firstLine="720"/>
        <w:rPr>
          <w:rFonts w:eastAsia="Times New Roman"/>
        </w:rPr>
      </w:pPr>
      <w:r>
        <w:rPr>
          <w:rFonts w:eastAsia="Times New Roman"/>
        </w:rPr>
        <w:t xml:space="preserve">The research question that determines the public health impact of the FDA’s proposed regulations is simple, though finding the answer can be complex. </w:t>
      </w:r>
      <w:r w:rsidR="004610A3">
        <w:rPr>
          <w:rFonts w:eastAsia="Times New Roman"/>
        </w:rPr>
        <w:t xml:space="preserve">Are ENDS and cigarettes complements or substitutes? A simple examination of correlation reveals a positive relationship </w:t>
      </w:r>
      <w:r w:rsidR="004610A3">
        <w:rPr>
          <w:rFonts w:eastAsia="Times New Roman"/>
        </w:rPr>
        <w:lastRenderedPageBreak/>
        <w:t xml:space="preserve">(r = .317). This positive correlation, however, does not imply that that ENDS and cigarettes are economic complements. The use of JIF or Skippy peanut butter is also positive correlated: it simply means that people that buy one or the other product enjoy peanut butter in general. Similarly, the positive correlation between ENDS and cigarette use </w:t>
      </w:r>
      <w:r w:rsidR="00C078AC">
        <w:rPr>
          <w:rFonts w:eastAsia="Times New Roman"/>
        </w:rPr>
        <w:t>could be the result of an unobserved propensity for substance use</w:t>
      </w:r>
      <w:r w:rsidR="004610A3">
        <w:rPr>
          <w:rFonts w:eastAsia="Times New Roman"/>
        </w:rPr>
        <w:t xml:space="preserve">. Because this </w:t>
      </w:r>
      <w:r w:rsidR="00C078AC">
        <w:rPr>
          <w:rFonts w:eastAsia="Times New Roman"/>
        </w:rPr>
        <w:t>propensity</w:t>
      </w:r>
      <w:r w:rsidR="004610A3">
        <w:rPr>
          <w:rFonts w:eastAsia="Times New Roman"/>
        </w:rPr>
        <w:t xml:space="preserve"> cannot be observed and controlled, I make use of state-level variables that are uncorrelated </w:t>
      </w:r>
      <w:r w:rsidR="00C078AC">
        <w:rPr>
          <w:rFonts w:eastAsia="Times New Roman"/>
        </w:rPr>
        <w:t xml:space="preserve">with </w:t>
      </w:r>
      <w:r w:rsidR="004610A3">
        <w:rPr>
          <w:rFonts w:eastAsia="Times New Roman"/>
        </w:rPr>
        <w:t>the omitted variable. The enactment of Minimum Legal Sales Age laws and prohibitions on self-service displays increase the non-monetary cost of ENDS use, allowing the data to show the substitution (or not) to combustible cigarettes.</w:t>
      </w:r>
    </w:p>
    <w:p w:rsidR="0012055B" w:rsidRDefault="0012055B" w:rsidP="00063513">
      <w:pPr>
        <w:spacing w:line="480" w:lineRule="auto"/>
        <w:rPr>
          <w:rFonts w:eastAsia="Times New Roman"/>
        </w:rPr>
      </w:pPr>
    </w:p>
    <w:p w:rsidR="0012055B" w:rsidRDefault="003060DC" w:rsidP="00063513">
      <w:pPr>
        <w:spacing w:line="480" w:lineRule="auto"/>
        <w:rPr>
          <w:rFonts w:eastAsia="Times New Roman"/>
        </w:rPr>
      </w:pPr>
      <w:r>
        <w:rPr>
          <w:rFonts w:eastAsia="Times New Roman"/>
          <w:b/>
        </w:rPr>
        <w:t>Theory</w:t>
      </w:r>
    </w:p>
    <w:p w:rsidR="0012055B" w:rsidRDefault="004610A3" w:rsidP="00063513">
      <w:pPr>
        <w:spacing w:line="480" w:lineRule="auto"/>
        <w:ind w:firstLine="720"/>
        <w:rPr>
          <w:rFonts w:eastAsia="Times New Roman"/>
        </w:rPr>
      </w:pPr>
      <w:r>
        <w:rPr>
          <w:rFonts w:eastAsia="Times New Roman"/>
        </w:rPr>
        <w:t xml:space="preserve">The introduction of Minimum Legal Sales Age laws raises the cost of ENDS to adolescents by adding additional barriers to purchase (minors must resort to online sales, purchase through an intermediary, or travel to non-complying retailer). Similarly, prohibitions on self-service displays increase the difficulty of theft and require a greater degree of customer and sales-clerk interaction. According to the law of demand, these increased costs of ENDS are predicted to significantly reduce rates of use among adolescents. Of specific interest are the second order effects of these regulations. If cigarettes and ENDS are complements, theory predicts that regulation will have the added benefit of reducing youth cigarette use. If on the other hand cigarettes and ENDS are substitutes, regulation of ENDS could have the unfortunate side-effect of increasing youth cigarette use. </w:t>
      </w:r>
    </w:p>
    <w:p w:rsidR="003060DC" w:rsidRDefault="003060DC" w:rsidP="00063513">
      <w:pPr>
        <w:spacing w:line="480" w:lineRule="auto"/>
        <w:ind w:firstLine="720"/>
        <w:rPr>
          <w:rFonts w:eastAsia="Times New Roman"/>
        </w:rPr>
      </w:pPr>
    </w:p>
    <w:p w:rsidR="003060DC" w:rsidRDefault="003060DC" w:rsidP="00063513">
      <w:pPr>
        <w:spacing w:line="480" w:lineRule="auto"/>
        <w:ind w:firstLine="720"/>
        <w:rPr>
          <w:rFonts w:eastAsia="Times New Roman"/>
        </w:rPr>
      </w:pPr>
      <w:r>
        <w:rPr>
          <w:rFonts w:eastAsia="Times New Roman"/>
        </w:rPr>
        <w:lastRenderedPageBreak/>
        <w:t xml:space="preserve">While not directly predictive of the possible impact of the FDA’s proposed ban of fruit and candy flavors for ENDS products, </w:t>
      </w:r>
      <w:r w:rsidR="00233875">
        <w:rPr>
          <w:rFonts w:eastAsia="Times New Roman"/>
        </w:rPr>
        <w:t xml:space="preserve">analysis of prior regulations can help reveal the complementarity or substitutionability of ENDS and cigarettes among adolescents. Like the prohibitions on youth purchases and self-service displays, the proposed flavor ban </w:t>
      </w:r>
      <w:r w:rsidR="0013578D">
        <w:rPr>
          <w:rFonts w:eastAsia="Times New Roman"/>
        </w:rPr>
        <w:t xml:space="preserve">adds a non-monetary cost to the purchase of ENDS (quality adjusted price of the products increases). </w:t>
      </w:r>
      <w:r w:rsidR="0092653A">
        <w:rPr>
          <w:rFonts w:eastAsia="Times New Roman"/>
        </w:rPr>
        <w:t>The results of this study may serve to help inform about the net public health impact of ENDS regulation.</w:t>
      </w:r>
    </w:p>
    <w:p w:rsidR="00CC6B97" w:rsidRDefault="00CC6B97" w:rsidP="00063513">
      <w:pPr>
        <w:spacing w:line="480" w:lineRule="auto"/>
        <w:rPr>
          <w:rFonts w:eastAsia="Times New Roman"/>
        </w:rPr>
      </w:pPr>
    </w:p>
    <w:p w:rsidR="00BD1615" w:rsidRPr="00BD1615" w:rsidRDefault="004610A3" w:rsidP="00063513">
      <w:pPr>
        <w:spacing w:line="480" w:lineRule="auto"/>
        <w:rPr>
          <w:rFonts w:eastAsia="Times New Roman"/>
          <w:b/>
        </w:rPr>
      </w:pPr>
      <w:r>
        <w:rPr>
          <w:rFonts w:eastAsia="Times New Roman"/>
          <w:b/>
        </w:rPr>
        <w:t>Literature</w:t>
      </w:r>
    </w:p>
    <w:p w:rsidR="008251D8" w:rsidRDefault="004610A3" w:rsidP="00063513">
      <w:pPr>
        <w:spacing w:line="480" w:lineRule="auto"/>
        <w:rPr>
          <w:rFonts w:eastAsia="Times New Roman"/>
        </w:rPr>
      </w:pPr>
      <w:r>
        <w:rPr>
          <w:rFonts w:eastAsia="Times New Roman"/>
        </w:rPr>
        <w:tab/>
        <w:t>This study is most directly related to the work of Dutra, Glanz, Arrazola, and King</w:t>
      </w:r>
      <w:r w:rsidR="006A5B6D">
        <w:rPr>
          <w:rStyle w:val="EndnoteReference"/>
          <w:rFonts w:eastAsia="Times New Roman"/>
        </w:rPr>
        <w:endnoteReference w:id="4"/>
      </w:r>
      <w:r>
        <w:rPr>
          <w:rFonts w:eastAsia="Times New Roman"/>
        </w:rPr>
        <w:t xml:space="preserve">. Dutra et al. investigate the relationship between Minimum Legal Sales Age laws and youth smoking using data from the National Youth Tobacco Survey for 2009 through 2014. </w:t>
      </w:r>
      <w:r w:rsidR="005973FE">
        <w:rPr>
          <w:rFonts w:eastAsia="Times New Roman"/>
        </w:rPr>
        <w:t xml:space="preserve">I attempted to replicate their work as best I could, with some differences. Without the advantage of conducting my study at a later date, I was able to include </w:t>
      </w:r>
      <w:r w:rsidR="006F70E7">
        <w:rPr>
          <w:rFonts w:eastAsia="Times New Roman"/>
        </w:rPr>
        <w:t>a few more years of data, up to 2017. Additionally, I also included</w:t>
      </w:r>
      <w:r w:rsidR="005973FE">
        <w:rPr>
          <w:rFonts w:eastAsia="Times New Roman"/>
        </w:rPr>
        <w:t xml:space="preserve"> an analysis of the effectiveness of MLSA regulation and appl</w:t>
      </w:r>
      <w:r w:rsidR="006F70E7">
        <w:rPr>
          <w:rFonts w:eastAsia="Times New Roman"/>
        </w:rPr>
        <w:t>ied</w:t>
      </w:r>
      <w:r w:rsidR="005973FE">
        <w:rPr>
          <w:rFonts w:eastAsia="Times New Roman"/>
        </w:rPr>
        <w:t xml:space="preserve"> their methodology to </w:t>
      </w:r>
      <w:r w:rsidR="006F70E7">
        <w:rPr>
          <w:rFonts w:eastAsia="Times New Roman"/>
        </w:rPr>
        <w:t xml:space="preserve">an investigation on the impact of self-service display bans. Dutra et al. find that the enactment of MLSA laws decrease youth smoking rates, suggesting complementarity between ENDS and cigarettes. </w:t>
      </w:r>
    </w:p>
    <w:p w:rsidR="008251D8" w:rsidRDefault="008251D8" w:rsidP="00063513">
      <w:pPr>
        <w:spacing w:line="480" w:lineRule="auto"/>
        <w:ind w:firstLine="720"/>
        <w:rPr>
          <w:rFonts w:eastAsia="Times New Roman"/>
        </w:rPr>
      </w:pPr>
    </w:p>
    <w:p w:rsidR="008251D8" w:rsidRDefault="00C078AC" w:rsidP="00063513">
      <w:pPr>
        <w:spacing w:line="480" w:lineRule="auto"/>
        <w:ind w:firstLine="720"/>
        <w:rPr>
          <w:rFonts w:eastAsia="Times New Roman"/>
        </w:rPr>
      </w:pPr>
      <w:r>
        <w:rPr>
          <w:rFonts w:eastAsia="Times New Roman"/>
        </w:rPr>
        <w:t>Abouk and Adams</w:t>
      </w:r>
      <w:r w:rsidR="006A5B6D">
        <w:rPr>
          <w:rStyle w:val="EndnoteReference"/>
          <w:rFonts w:eastAsia="Times New Roman"/>
        </w:rPr>
        <w:endnoteReference w:id="5"/>
      </w:r>
      <w:r>
        <w:rPr>
          <w:rFonts w:eastAsia="Times New Roman"/>
        </w:rPr>
        <w:t xml:space="preserve">, using individual-level data from Monitoring the Future surveys for 2007 to 2014, come to the same conclusion as Dutra et al. </w:t>
      </w:r>
      <w:r w:rsidR="008251D8">
        <w:rPr>
          <w:rFonts w:eastAsia="Times New Roman"/>
        </w:rPr>
        <w:t xml:space="preserve">Analyzing the effect of MLSA laws on smoking likelihood and intensity, the authors find a negative effect in both cases. The authors </w:t>
      </w:r>
      <w:r w:rsidR="008251D8">
        <w:rPr>
          <w:rFonts w:eastAsia="Times New Roman"/>
        </w:rPr>
        <w:lastRenderedPageBreak/>
        <w:t>additionally find a negative effect of MLSA laws on ENDS use, providing evidence that the laws are indeed effective.</w:t>
      </w:r>
    </w:p>
    <w:p w:rsidR="005E4EF5" w:rsidRDefault="005E4EF5" w:rsidP="00063513">
      <w:pPr>
        <w:spacing w:line="480" w:lineRule="auto"/>
        <w:ind w:firstLine="720"/>
        <w:rPr>
          <w:rFonts w:eastAsia="Times New Roman"/>
        </w:rPr>
      </w:pPr>
    </w:p>
    <w:p w:rsidR="005E4EF5" w:rsidRDefault="005E4EF5" w:rsidP="00063513">
      <w:pPr>
        <w:spacing w:line="480" w:lineRule="auto"/>
        <w:ind w:firstLine="720"/>
        <w:rPr>
          <w:rFonts w:eastAsia="Times New Roman"/>
        </w:rPr>
      </w:pPr>
      <w:r>
        <w:rPr>
          <w:rFonts w:eastAsia="Times New Roman"/>
        </w:rPr>
        <w:t>Pesko, Hughes, and Faisal</w:t>
      </w:r>
      <w:r>
        <w:rPr>
          <w:rStyle w:val="EndnoteReference"/>
          <w:rFonts w:eastAsia="Times New Roman"/>
        </w:rPr>
        <w:endnoteReference w:id="6"/>
      </w:r>
      <w:r>
        <w:rPr>
          <w:rFonts w:eastAsia="Times New Roman"/>
        </w:rPr>
        <w:t xml:space="preserve"> use state-level data from the Youth Risk Behavior Surveillance System for 2007 to 2013. In contrast to the individual-level studies, Pesko et al. find a positive effect of age purchasing restrictions on youth smoking rates, indicating a substitution effect. Dave, </w:t>
      </w:r>
      <w:r w:rsidR="00683B1A">
        <w:rPr>
          <w:rFonts w:eastAsia="Times New Roman"/>
        </w:rPr>
        <w:t>Feng, and Pesko</w:t>
      </w:r>
      <w:r w:rsidR="00683B1A">
        <w:rPr>
          <w:rStyle w:val="EndnoteReference"/>
          <w:rFonts w:eastAsia="Times New Roman"/>
        </w:rPr>
        <w:endnoteReference w:id="7"/>
      </w:r>
      <w:r w:rsidR="00A157C1">
        <w:rPr>
          <w:rFonts w:eastAsia="Times New Roman"/>
        </w:rPr>
        <w:t xml:space="preserve"> follow up a year later with an expanded range of time (2005 – 2015) and added data from the national version of the YRBSS. The authors again find a positive relationship between age purchasing restrictions and youth smoking rates.</w:t>
      </w:r>
    </w:p>
    <w:p w:rsidR="00CA4E04" w:rsidRDefault="00CA4E04" w:rsidP="00063513">
      <w:pPr>
        <w:spacing w:line="480" w:lineRule="auto"/>
        <w:ind w:firstLine="720"/>
        <w:rPr>
          <w:rFonts w:eastAsia="Times New Roman"/>
        </w:rPr>
      </w:pPr>
    </w:p>
    <w:p w:rsidR="00CA4E04" w:rsidRDefault="00CA4E04" w:rsidP="00063513">
      <w:pPr>
        <w:spacing w:line="480" w:lineRule="auto"/>
        <w:ind w:firstLine="720"/>
        <w:rPr>
          <w:rFonts w:eastAsia="Times New Roman"/>
        </w:rPr>
      </w:pPr>
      <w:r>
        <w:rPr>
          <w:rFonts w:eastAsia="Times New Roman"/>
        </w:rPr>
        <w:t>Unfortunately, the literature on ENDS flavor bans relies on hypotheticals, as there is no state-level variation to exploit for flavor regulation. Buckell, Marti, and Sindelar</w:t>
      </w:r>
      <w:r>
        <w:rPr>
          <w:rStyle w:val="EndnoteReference"/>
          <w:rFonts w:eastAsia="Times New Roman"/>
        </w:rPr>
        <w:endnoteReference w:id="8"/>
      </w:r>
      <w:r>
        <w:rPr>
          <w:rFonts w:eastAsia="Times New Roman"/>
        </w:rPr>
        <w:t xml:space="preserve"> use a discrete choice experiment to predict the effect of flavor bans. They find that a reduction of flavor availability for ENDS would increase choice of cigarettes. Although their experiment was conducted on adult smokers, their findings have relevance to the FDA’s agenda of restricting youth ENDS use. </w:t>
      </w:r>
      <w:r w:rsidR="000C0C14">
        <w:rPr>
          <w:rFonts w:eastAsia="Times New Roman"/>
        </w:rPr>
        <w:t>Buu, Hu, Piper, and Lin</w:t>
      </w:r>
      <w:r w:rsidR="000C0C14">
        <w:rPr>
          <w:rStyle w:val="EndnoteReference"/>
          <w:rFonts w:eastAsia="Times New Roman"/>
        </w:rPr>
        <w:endnoteReference w:id="9"/>
      </w:r>
      <w:r w:rsidR="000C0C14">
        <w:rPr>
          <w:rFonts w:eastAsia="Times New Roman"/>
        </w:rPr>
        <w:t xml:space="preserve">, using data from the Population Assessment of Tobacco and Health, find that the use of ENDS flavoring is associated with a lower quantity of cigarette use. Without policy variation on flavor restrictions however, causality is difficult to prove. </w:t>
      </w:r>
      <w:r w:rsidR="003266B4">
        <w:rPr>
          <w:rFonts w:eastAsia="Times New Roman"/>
        </w:rPr>
        <w:t>Shiffman et al.</w:t>
      </w:r>
      <w:r w:rsidR="003266B4">
        <w:rPr>
          <w:rStyle w:val="EndnoteReference"/>
          <w:rFonts w:eastAsia="Times New Roman"/>
        </w:rPr>
        <w:endnoteReference w:id="10"/>
      </w:r>
      <w:r w:rsidR="003266B4">
        <w:rPr>
          <w:rFonts w:eastAsia="Times New Roman"/>
        </w:rPr>
        <w:t xml:space="preserve"> analyze data from an online questionnaire. The authors find that interest in ENDS flavors was not highly correlated with interest in ENDS in general. In the absence of empirical data on current use however, the literature on ENDS flavor restrictions has low predictive power. </w:t>
      </w:r>
    </w:p>
    <w:p w:rsidR="005E4EF5" w:rsidRDefault="005E4EF5" w:rsidP="008251D8">
      <w:pPr>
        <w:ind w:firstLine="720"/>
        <w:rPr>
          <w:rFonts w:eastAsia="Times New Roman"/>
        </w:rPr>
      </w:pPr>
    </w:p>
    <w:p w:rsidR="005E4EF5" w:rsidRDefault="005E4EF5" w:rsidP="008251D8">
      <w:pPr>
        <w:ind w:firstLine="720"/>
        <w:rPr>
          <w:rFonts w:eastAsia="Times New Roman"/>
        </w:rPr>
      </w:pPr>
    </w:p>
    <w:p w:rsidR="0012055B" w:rsidRDefault="0012055B">
      <w:pPr>
        <w:rPr>
          <w:rFonts w:eastAsia="Times New Roman"/>
        </w:rPr>
      </w:pPr>
    </w:p>
    <w:p w:rsidR="0012055B" w:rsidRDefault="004610A3">
      <w:pPr>
        <w:rPr>
          <w:rFonts w:eastAsia="Times New Roman"/>
          <w:b/>
          <w:sz w:val="20"/>
          <w:szCs w:val="20"/>
        </w:rPr>
      </w:pPr>
      <w:r>
        <w:rPr>
          <w:rFonts w:eastAsia="Times New Roman"/>
          <w:b/>
          <w:sz w:val="20"/>
          <w:szCs w:val="20"/>
        </w:rPr>
        <w:t>Table 1</w:t>
      </w:r>
    </w:p>
    <w:tbl>
      <w:tblPr>
        <w:tblStyle w:val="PlainTable2"/>
        <w:tblW w:w="9360" w:type="dxa"/>
        <w:tblLayout w:type="fixed"/>
        <w:tblLook w:val="0600" w:firstRow="0" w:lastRow="0" w:firstColumn="0" w:lastColumn="0" w:noHBand="1" w:noVBand="1"/>
      </w:tblPr>
      <w:tblGrid>
        <w:gridCol w:w="3060"/>
        <w:gridCol w:w="2070"/>
        <w:gridCol w:w="2160"/>
        <w:gridCol w:w="2070"/>
      </w:tblGrid>
      <w:tr w:rsidR="0012055B" w:rsidTr="00CB2F79">
        <w:tc>
          <w:tcPr>
            <w:tcW w:w="3060" w:type="dxa"/>
          </w:tcPr>
          <w:p w:rsidR="0012055B" w:rsidRDefault="004610A3">
            <w:pPr>
              <w:widowControl w:val="0"/>
              <w:rPr>
                <w:rFonts w:eastAsia="Times New Roman"/>
                <w:sz w:val="20"/>
                <w:szCs w:val="20"/>
              </w:rPr>
            </w:pPr>
            <w:r>
              <w:rPr>
                <w:rFonts w:eastAsia="Times New Roman"/>
                <w:sz w:val="20"/>
                <w:szCs w:val="20"/>
              </w:rPr>
              <w:t xml:space="preserve">Regulation </w:t>
            </w:r>
          </w:p>
        </w:tc>
        <w:tc>
          <w:tcPr>
            <w:tcW w:w="2070" w:type="dxa"/>
          </w:tcPr>
          <w:p w:rsidR="0012055B" w:rsidRDefault="005F4EE1">
            <w:pPr>
              <w:widowControl w:val="0"/>
              <w:rPr>
                <w:rFonts w:eastAsia="Times New Roman"/>
                <w:sz w:val="20"/>
                <w:szCs w:val="20"/>
              </w:rPr>
            </w:pPr>
            <w:r>
              <w:rPr>
                <w:rFonts w:eastAsia="Times New Roman"/>
                <w:sz w:val="20"/>
                <w:szCs w:val="20"/>
              </w:rPr>
              <w:t>Decreases ENDS</w:t>
            </w:r>
            <w:r w:rsidR="004610A3">
              <w:rPr>
                <w:rFonts w:eastAsia="Times New Roman"/>
                <w:sz w:val="20"/>
                <w:szCs w:val="20"/>
              </w:rPr>
              <w:t xml:space="preserve"> use?</w:t>
            </w:r>
          </w:p>
        </w:tc>
        <w:tc>
          <w:tcPr>
            <w:tcW w:w="2160" w:type="dxa"/>
          </w:tcPr>
          <w:p w:rsidR="0012055B" w:rsidRDefault="004610A3">
            <w:pPr>
              <w:widowControl w:val="0"/>
              <w:rPr>
                <w:rFonts w:eastAsia="Times New Roman"/>
                <w:sz w:val="20"/>
                <w:szCs w:val="20"/>
              </w:rPr>
            </w:pPr>
            <w:r>
              <w:rPr>
                <w:rFonts w:eastAsia="Times New Roman"/>
                <w:sz w:val="20"/>
                <w:szCs w:val="20"/>
              </w:rPr>
              <w:t>Increases cigarette use?</w:t>
            </w:r>
          </w:p>
        </w:tc>
        <w:tc>
          <w:tcPr>
            <w:tcW w:w="2070" w:type="dxa"/>
          </w:tcPr>
          <w:p w:rsidR="0012055B" w:rsidRDefault="004610A3">
            <w:pPr>
              <w:widowControl w:val="0"/>
              <w:rPr>
                <w:rFonts w:eastAsia="Times New Roman"/>
                <w:sz w:val="20"/>
                <w:szCs w:val="20"/>
              </w:rPr>
            </w:pPr>
            <w:r>
              <w:rPr>
                <w:rFonts w:eastAsia="Times New Roman"/>
                <w:sz w:val="20"/>
                <w:szCs w:val="20"/>
              </w:rPr>
              <w:t>Study</w:t>
            </w:r>
          </w:p>
        </w:tc>
      </w:tr>
      <w:tr w:rsidR="0012055B" w:rsidTr="00CB2F79">
        <w:tc>
          <w:tcPr>
            <w:tcW w:w="3060" w:type="dxa"/>
          </w:tcPr>
          <w:p w:rsidR="0012055B" w:rsidRDefault="00CB2F79">
            <w:pPr>
              <w:widowControl w:val="0"/>
              <w:rPr>
                <w:rFonts w:eastAsia="Times New Roman"/>
                <w:sz w:val="20"/>
                <w:szCs w:val="20"/>
              </w:rPr>
            </w:pPr>
            <w:r>
              <w:rPr>
                <w:rFonts w:eastAsia="Times New Roman"/>
                <w:sz w:val="20"/>
                <w:szCs w:val="20"/>
              </w:rPr>
              <w:t>Minimum Legal Sales A</w:t>
            </w:r>
            <w:r w:rsidR="004610A3">
              <w:rPr>
                <w:rFonts w:eastAsia="Times New Roman"/>
                <w:sz w:val="20"/>
                <w:szCs w:val="20"/>
              </w:rPr>
              <w:t>ge</w:t>
            </w:r>
          </w:p>
        </w:tc>
        <w:tc>
          <w:tcPr>
            <w:tcW w:w="2070" w:type="dxa"/>
          </w:tcPr>
          <w:p w:rsidR="0012055B" w:rsidRDefault="004610A3">
            <w:pPr>
              <w:widowControl w:val="0"/>
              <w:rPr>
                <w:rFonts w:eastAsia="Times New Roman"/>
                <w:sz w:val="20"/>
                <w:szCs w:val="20"/>
              </w:rPr>
            </w:pPr>
            <w:r>
              <w:rPr>
                <w:rFonts w:eastAsia="Times New Roman"/>
                <w:sz w:val="20"/>
                <w:szCs w:val="20"/>
              </w:rPr>
              <w:t>Unclear</w:t>
            </w:r>
          </w:p>
        </w:tc>
        <w:tc>
          <w:tcPr>
            <w:tcW w:w="2160" w:type="dxa"/>
          </w:tcPr>
          <w:p w:rsidR="0012055B" w:rsidRDefault="004610A3">
            <w:pPr>
              <w:widowControl w:val="0"/>
              <w:rPr>
                <w:rFonts w:eastAsia="Times New Roman"/>
                <w:sz w:val="20"/>
                <w:szCs w:val="20"/>
              </w:rPr>
            </w:pPr>
            <w:r>
              <w:rPr>
                <w:rFonts w:eastAsia="Times New Roman"/>
                <w:sz w:val="20"/>
                <w:szCs w:val="20"/>
              </w:rPr>
              <w:t>Yes</w:t>
            </w:r>
          </w:p>
        </w:tc>
        <w:tc>
          <w:tcPr>
            <w:tcW w:w="2070" w:type="dxa"/>
          </w:tcPr>
          <w:p w:rsidR="0012055B" w:rsidRDefault="004610A3">
            <w:pPr>
              <w:widowControl w:val="0"/>
              <w:rPr>
                <w:rFonts w:eastAsia="Times New Roman"/>
                <w:sz w:val="20"/>
                <w:szCs w:val="20"/>
              </w:rPr>
            </w:pPr>
            <w:r>
              <w:rPr>
                <w:rFonts w:eastAsia="Times New Roman"/>
                <w:sz w:val="20"/>
                <w:szCs w:val="20"/>
              </w:rPr>
              <w:t>Pesko et al. (2016)</w:t>
            </w:r>
          </w:p>
        </w:tc>
      </w:tr>
      <w:tr w:rsidR="0012055B" w:rsidTr="00CB2F79">
        <w:tc>
          <w:tcPr>
            <w:tcW w:w="3060" w:type="dxa"/>
          </w:tcPr>
          <w:p w:rsidR="0012055B" w:rsidRDefault="0012055B">
            <w:pPr>
              <w:widowControl w:val="0"/>
              <w:rPr>
                <w:rFonts w:eastAsia="Times New Roman"/>
                <w:sz w:val="20"/>
                <w:szCs w:val="20"/>
              </w:rPr>
            </w:pPr>
          </w:p>
        </w:tc>
        <w:tc>
          <w:tcPr>
            <w:tcW w:w="2070" w:type="dxa"/>
          </w:tcPr>
          <w:p w:rsidR="0012055B" w:rsidRDefault="004610A3">
            <w:pPr>
              <w:widowControl w:val="0"/>
              <w:rPr>
                <w:rFonts w:eastAsia="Times New Roman"/>
                <w:sz w:val="20"/>
                <w:szCs w:val="20"/>
              </w:rPr>
            </w:pPr>
            <w:r>
              <w:rPr>
                <w:rFonts w:eastAsia="Times New Roman"/>
                <w:sz w:val="20"/>
                <w:szCs w:val="20"/>
              </w:rPr>
              <w:t>Unclear</w:t>
            </w:r>
          </w:p>
        </w:tc>
        <w:tc>
          <w:tcPr>
            <w:tcW w:w="2160" w:type="dxa"/>
          </w:tcPr>
          <w:p w:rsidR="0012055B" w:rsidRDefault="004610A3">
            <w:pPr>
              <w:widowControl w:val="0"/>
              <w:rPr>
                <w:rFonts w:eastAsia="Times New Roman"/>
                <w:sz w:val="20"/>
                <w:szCs w:val="20"/>
              </w:rPr>
            </w:pPr>
            <w:r>
              <w:rPr>
                <w:rFonts w:eastAsia="Times New Roman"/>
                <w:sz w:val="20"/>
                <w:szCs w:val="20"/>
              </w:rPr>
              <w:t>Yes</w:t>
            </w:r>
          </w:p>
        </w:tc>
        <w:tc>
          <w:tcPr>
            <w:tcW w:w="2070" w:type="dxa"/>
          </w:tcPr>
          <w:p w:rsidR="0012055B" w:rsidRDefault="004610A3">
            <w:pPr>
              <w:widowControl w:val="0"/>
              <w:rPr>
                <w:rFonts w:eastAsia="Times New Roman"/>
                <w:sz w:val="20"/>
                <w:szCs w:val="20"/>
              </w:rPr>
            </w:pPr>
            <w:r>
              <w:rPr>
                <w:rFonts w:eastAsia="Times New Roman"/>
                <w:sz w:val="20"/>
                <w:szCs w:val="20"/>
              </w:rPr>
              <w:t>Dave et al. (2017)</w:t>
            </w:r>
          </w:p>
        </w:tc>
      </w:tr>
      <w:tr w:rsidR="0012055B" w:rsidTr="00CB2F79">
        <w:tc>
          <w:tcPr>
            <w:tcW w:w="3060" w:type="dxa"/>
          </w:tcPr>
          <w:p w:rsidR="0012055B" w:rsidRDefault="0012055B">
            <w:pPr>
              <w:widowControl w:val="0"/>
              <w:rPr>
                <w:rFonts w:eastAsia="Times New Roman"/>
                <w:sz w:val="20"/>
                <w:szCs w:val="20"/>
              </w:rPr>
            </w:pPr>
          </w:p>
        </w:tc>
        <w:tc>
          <w:tcPr>
            <w:tcW w:w="2070" w:type="dxa"/>
          </w:tcPr>
          <w:p w:rsidR="0012055B" w:rsidRDefault="004610A3">
            <w:pPr>
              <w:widowControl w:val="0"/>
              <w:rPr>
                <w:rFonts w:eastAsia="Times New Roman"/>
                <w:sz w:val="20"/>
                <w:szCs w:val="20"/>
              </w:rPr>
            </w:pPr>
            <w:r>
              <w:rPr>
                <w:rFonts w:eastAsia="Times New Roman"/>
                <w:sz w:val="20"/>
                <w:szCs w:val="20"/>
              </w:rPr>
              <w:t>Unclear</w:t>
            </w:r>
          </w:p>
        </w:tc>
        <w:tc>
          <w:tcPr>
            <w:tcW w:w="2160" w:type="dxa"/>
          </w:tcPr>
          <w:p w:rsidR="0012055B" w:rsidRDefault="004610A3">
            <w:pPr>
              <w:widowControl w:val="0"/>
              <w:rPr>
                <w:rFonts w:eastAsia="Times New Roman"/>
                <w:sz w:val="20"/>
                <w:szCs w:val="20"/>
              </w:rPr>
            </w:pPr>
            <w:r>
              <w:rPr>
                <w:rFonts w:eastAsia="Times New Roman"/>
                <w:sz w:val="20"/>
                <w:szCs w:val="20"/>
              </w:rPr>
              <w:t>No</w:t>
            </w:r>
          </w:p>
        </w:tc>
        <w:tc>
          <w:tcPr>
            <w:tcW w:w="2070" w:type="dxa"/>
          </w:tcPr>
          <w:p w:rsidR="0012055B" w:rsidRDefault="00C078AC">
            <w:pPr>
              <w:widowControl w:val="0"/>
              <w:rPr>
                <w:rFonts w:eastAsia="Times New Roman"/>
                <w:sz w:val="20"/>
                <w:szCs w:val="20"/>
              </w:rPr>
            </w:pPr>
            <w:r>
              <w:rPr>
                <w:rFonts w:eastAsia="Times New Roman"/>
                <w:sz w:val="20"/>
                <w:szCs w:val="20"/>
              </w:rPr>
              <w:t>Dutra et al. (2017</w:t>
            </w:r>
            <w:r w:rsidR="004610A3">
              <w:rPr>
                <w:rFonts w:eastAsia="Times New Roman"/>
                <w:sz w:val="20"/>
                <w:szCs w:val="20"/>
              </w:rPr>
              <w:t>)</w:t>
            </w:r>
          </w:p>
        </w:tc>
      </w:tr>
      <w:tr w:rsidR="0012055B" w:rsidTr="00CB2F79">
        <w:tc>
          <w:tcPr>
            <w:tcW w:w="3060" w:type="dxa"/>
          </w:tcPr>
          <w:p w:rsidR="0012055B" w:rsidRDefault="0012055B">
            <w:pPr>
              <w:widowControl w:val="0"/>
              <w:rPr>
                <w:rFonts w:eastAsia="Times New Roman"/>
                <w:sz w:val="20"/>
                <w:szCs w:val="20"/>
              </w:rPr>
            </w:pPr>
          </w:p>
        </w:tc>
        <w:tc>
          <w:tcPr>
            <w:tcW w:w="2070" w:type="dxa"/>
          </w:tcPr>
          <w:p w:rsidR="0012055B" w:rsidRDefault="004610A3">
            <w:pPr>
              <w:widowControl w:val="0"/>
              <w:rPr>
                <w:rFonts w:eastAsia="Times New Roman"/>
                <w:sz w:val="20"/>
                <w:szCs w:val="20"/>
              </w:rPr>
            </w:pPr>
            <w:r>
              <w:rPr>
                <w:rFonts w:eastAsia="Times New Roman"/>
                <w:sz w:val="20"/>
                <w:szCs w:val="20"/>
              </w:rPr>
              <w:t>Yes</w:t>
            </w:r>
          </w:p>
        </w:tc>
        <w:tc>
          <w:tcPr>
            <w:tcW w:w="2160" w:type="dxa"/>
          </w:tcPr>
          <w:p w:rsidR="0012055B" w:rsidRDefault="004610A3">
            <w:pPr>
              <w:widowControl w:val="0"/>
              <w:rPr>
                <w:rFonts w:eastAsia="Times New Roman"/>
                <w:sz w:val="20"/>
                <w:szCs w:val="20"/>
              </w:rPr>
            </w:pPr>
            <w:r>
              <w:rPr>
                <w:rFonts w:eastAsia="Times New Roman"/>
                <w:sz w:val="20"/>
                <w:szCs w:val="20"/>
              </w:rPr>
              <w:t>No</w:t>
            </w:r>
          </w:p>
        </w:tc>
        <w:tc>
          <w:tcPr>
            <w:tcW w:w="2070" w:type="dxa"/>
          </w:tcPr>
          <w:p w:rsidR="0012055B" w:rsidRDefault="004610A3">
            <w:pPr>
              <w:widowControl w:val="0"/>
              <w:rPr>
                <w:rFonts w:eastAsia="Times New Roman"/>
                <w:sz w:val="20"/>
                <w:szCs w:val="20"/>
              </w:rPr>
            </w:pPr>
            <w:r>
              <w:rPr>
                <w:rFonts w:eastAsia="Times New Roman"/>
                <w:sz w:val="20"/>
                <w:szCs w:val="20"/>
              </w:rPr>
              <w:t>Abouk, Adams (2017)</w:t>
            </w:r>
          </w:p>
        </w:tc>
      </w:tr>
      <w:tr w:rsidR="0012055B" w:rsidTr="00CB2F79">
        <w:tc>
          <w:tcPr>
            <w:tcW w:w="3060" w:type="dxa"/>
          </w:tcPr>
          <w:p w:rsidR="0012055B" w:rsidRDefault="005E4EF5">
            <w:pPr>
              <w:widowControl w:val="0"/>
              <w:rPr>
                <w:rFonts w:eastAsia="Times New Roman"/>
                <w:sz w:val="20"/>
                <w:szCs w:val="20"/>
              </w:rPr>
            </w:pPr>
            <w:r>
              <w:rPr>
                <w:rFonts w:eastAsia="Times New Roman"/>
                <w:sz w:val="20"/>
                <w:szCs w:val="20"/>
              </w:rPr>
              <w:t>Self-Service Display Bans</w:t>
            </w:r>
          </w:p>
        </w:tc>
        <w:tc>
          <w:tcPr>
            <w:tcW w:w="2070" w:type="dxa"/>
          </w:tcPr>
          <w:p w:rsidR="0012055B" w:rsidRDefault="0012055B">
            <w:pPr>
              <w:widowControl w:val="0"/>
              <w:rPr>
                <w:rFonts w:eastAsia="Times New Roman"/>
                <w:sz w:val="20"/>
                <w:szCs w:val="20"/>
              </w:rPr>
            </w:pPr>
          </w:p>
        </w:tc>
        <w:tc>
          <w:tcPr>
            <w:tcW w:w="2160" w:type="dxa"/>
          </w:tcPr>
          <w:p w:rsidR="0012055B" w:rsidRDefault="0012055B">
            <w:pPr>
              <w:widowControl w:val="0"/>
              <w:rPr>
                <w:rFonts w:eastAsia="Times New Roman"/>
                <w:sz w:val="20"/>
                <w:szCs w:val="20"/>
              </w:rPr>
            </w:pPr>
          </w:p>
        </w:tc>
        <w:tc>
          <w:tcPr>
            <w:tcW w:w="2070" w:type="dxa"/>
          </w:tcPr>
          <w:p w:rsidR="0012055B" w:rsidRDefault="004610A3">
            <w:pPr>
              <w:widowControl w:val="0"/>
              <w:rPr>
                <w:rFonts w:eastAsia="Times New Roman"/>
                <w:sz w:val="20"/>
                <w:szCs w:val="20"/>
              </w:rPr>
            </w:pPr>
            <w:r>
              <w:rPr>
                <w:rFonts w:eastAsia="Times New Roman"/>
                <w:sz w:val="20"/>
                <w:szCs w:val="20"/>
              </w:rPr>
              <w:t>Unstudied</w:t>
            </w:r>
          </w:p>
        </w:tc>
      </w:tr>
      <w:tr w:rsidR="0012055B" w:rsidTr="00CB2F79">
        <w:tc>
          <w:tcPr>
            <w:tcW w:w="3060" w:type="dxa"/>
          </w:tcPr>
          <w:p w:rsidR="00CB2F79" w:rsidRPr="00CB2F79" w:rsidRDefault="004610A3" w:rsidP="00CB2F79">
            <w:pPr>
              <w:widowControl w:val="0"/>
              <w:rPr>
                <w:rFonts w:eastAsia="Times New Roman"/>
                <w:sz w:val="20"/>
                <w:szCs w:val="20"/>
              </w:rPr>
            </w:pPr>
            <w:r>
              <w:rPr>
                <w:rFonts w:eastAsia="Times New Roman"/>
                <w:sz w:val="20"/>
                <w:szCs w:val="20"/>
              </w:rPr>
              <w:t>Flavor Bans (Hypothetical)</w:t>
            </w:r>
          </w:p>
        </w:tc>
        <w:tc>
          <w:tcPr>
            <w:tcW w:w="2070" w:type="dxa"/>
          </w:tcPr>
          <w:p w:rsidR="0012055B" w:rsidRDefault="004610A3">
            <w:pPr>
              <w:widowControl w:val="0"/>
              <w:rPr>
                <w:rFonts w:eastAsia="Times New Roman"/>
                <w:sz w:val="20"/>
                <w:szCs w:val="20"/>
              </w:rPr>
            </w:pPr>
            <w:r>
              <w:rPr>
                <w:rFonts w:eastAsia="Times New Roman"/>
                <w:sz w:val="20"/>
                <w:szCs w:val="20"/>
              </w:rPr>
              <w:t>Yes</w:t>
            </w:r>
          </w:p>
        </w:tc>
        <w:tc>
          <w:tcPr>
            <w:tcW w:w="2160" w:type="dxa"/>
          </w:tcPr>
          <w:p w:rsidR="0012055B" w:rsidRDefault="004610A3">
            <w:pPr>
              <w:widowControl w:val="0"/>
              <w:rPr>
                <w:rFonts w:eastAsia="Times New Roman"/>
                <w:sz w:val="20"/>
                <w:szCs w:val="20"/>
              </w:rPr>
            </w:pPr>
            <w:r>
              <w:rPr>
                <w:rFonts w:eastAsia="Times New Roman"/>
                <w:sz w:val="20"/>
                <w:szCs w:val="20"/>
              </w:rPr>
              <w:t>Yes</w:t>
            </w:r>
          </w:p>
        </w:tc>
        <w:tc>
          <w:tcPr>
            <w:tcW w:w="2070" w:type="dxa"/>
          </w:tcPr>
          <w:p w:rsidR="0012055B" w:rsidRDefault="004610A3">
            <w:pPr>
              <w:widowControl w:val="0"/>
              <w:rPr>
                <w:rFonts w:eastAsia="Times New Roman"/>
                <w:sz w:val="20"/>
                <w:szCs w:val="20"/>
              </w:rPr>
            </w:pPr>
            <w:r>
              <w:rPr>
                <w:rFonts w:eastAsia="Times New Roman"/>
                <w:sz w:val="20"/>
                <w:szCs w:val="20"/>
              </w:rPr>
              <w:t>Buckell et al. (2017)</w:t>
            </w:r>
          </w:p>
        </w:tc>
      </w:tr>
      <w:tr w:rsidR="0012055B" w:rsidTr="00CB2F79">
        <w:tc>
          <w:tcPr>
            <w:tcW w:w="3060" w:type="dxa"/>
          </w:tcPr>
          <w:p w:rsidR="0012055B" w:rsidRDefault="0012055B">
            <w:pPr>
              <w:widowControl w:val="0"/>
              <w:rPr>
                <w:rFonts w:eastAsia="Times New Roman"/>
                <w:sz w:val="20"/>
                <w:szCs w:val="20"/>
              </w:rPr>
            </w:pPr>
          </w:p>
        </w:tc>
        <w:tc>
          <w:tcPr>
            <w:tcW w:w="2070" w:type="dxa"/>
          </w:tcPr>
          <w:p w:rsidR="0012055B" w:rsidRDefault="004610A3">
            <w:pPr>
              <w:widowControl w:val="0"/>
              <w:rPr>
                <w:rFonts w:eastAsia="Times New Roman"/>
                <w:sz w:val="20"/>
                <w:szCs w:val="20"/>
              </w:rPr>
            </w:pPr>
            <w:r>
              <w:rPr>
                <w:rFonts w:eastAsia="Times New Roman"/>
                <w:sz w:val="20"/>
                <w:szCs w:val="20"/>
              </w:rPr>
              <w:t>Unclear</w:t>
            </w:r>
          </w:p>
        </w:tc>
        <w:tc>
          <w:tcPr>
            <w:tcW w:w="2160" w:type="dxa"/>
          </w:tcPr>
          <w:p w:rsidR="0012055B" w:rsidRDefault="004610A3">
            <w:pPr>
              <w:widowControl w:val="0"/>
              <w:rPr>
                <w:rFonts w:eastAsia="Times New Roman"/>
                <w:sz w:val="20"/>
                <w:szCs w:val="20"/>
              </w:rPr>
            </w:pPr>
            <w:r>
              <w:rPr>
                <w:rFonts w:eastAsia="Times New Roman"/>
                <w:sz w:val="20"/>
                <w:szCs w:val="20"/>
              </w:rPr>
              <w:t>Yes</w:t>
            </w:r>
          </w:p>
        </w:tc>
        <w:tc>
          <w:tcPr>
            <w:tcW w:w="2070" w:type="dxa"/>
          </w:tcPr>
          <w:p w:rsidR="0012055B" w:rsidRDefault="004610A3">
            <w:pPr>
              <w:widowControl w:val="0"/>
              <w:rPr>
                <w:rFonts w:eastAsia="Times New Roman"/>
                <w:sz w:val="20"/>
                <w:szCs w:val="20"/>
              </w:rPr>
            </w:pPr>
            <w:r>
              <w:rPr>
                <w:rFonts w:eastAsia="Times New Roman"/>
                <w:sz w:val="20"/>
                <w:szCs w:val="20"/>
              </w:rPr>
              <w:t>Buu et al. (2018)</w:t>
            </w:r>
          </w:p>
        </w:tc>
      </w:tr>
      <w:tr w:rsidR="0012055B" w:rsidTr="00CB2F79">
        <w:tc>
          <w:tcPr>
            <w:tcW w:w="3060" w:type="dxa"/>
          </w:tcPr>
          <w:p w:rsidR="0012055B" w:rsidRDefault="0012055B">
            <w:pPr>
              <w:widowControl w:val="0"/>
              <w:rPr>
                <w:rFonts w:eastAsia="Times New Roman"/>
                <w:sz w:val="20"/>
                <w:szCs w:val="20"/>
              </w:rPr>
            </w:pPr>
          </w:p>
        </w:tc>
        <w:tc>
          <w:tcPr>
            <w:tcW w:w="2070" w:type="dxa"/>
          </w:tcPr>
          <w:p w:rsidR="0012055B" w:rsidRDefault="004610A3">
            <w:pPr>
              <w:widowControl w:val="0"/>
              <w:rPr>
                <w:rFonts w:eastAsia="Times New Roman"/>
                <w:sz w:val="20"/>
                <w:szCs w:val="20"/>
              </w:rPr>
            </w:pPr>
            <w:r>
              <w:rPr>
                <w:rFonts w:eastAsia="Times New Roman"/>
                <w:sz w:val="20"/>
                <w:szCs w:val="20"/>
              </w:rPr>
              <w:t>No</w:t>
            </w:r>
          </w:p>
        </w:tc>
        <w:tc>
          <w:tcPr>
            <w:tcW w:w="2160" w:type="dxa"/>
          </w:tcPr>
          <w:p w:rsidR="0012055B" w:rsidRDefault="004610A3">
            <w:pPr>
              <w:widowControl w:val="0"/>
              <w:rPr>
                <w:rFonts w:eastAsia="Times New Roman"/>
                <w:sz w:val="20"/>
                <w:szCs w:val="20"/>
              </w:rPr>
            </w:pPr>
            <w:r>
              <w:rPr>
                <w:rFonts w:eastAsia="Times New Roman"/>
                <w:sz w:val="20"/>
                <w:szCs w:val="20"/>
              </w:rPr>
              <w:t>Unclear</w:t>
            </w:r>
          </w:p>
        </w:tc>
        <w:tc>
          <w:tcPr>
            <w:tcW w:w="2070" w:type="dxa"/>
          </w:tcPr>
          <w:p w:rsidR="0012055B" w:rsidRDefault="004610A3">
            <w:pPr>
              <w:widowControl w:val="0"/>
              <w:rPr>
                <w:rFonts w:eastAsia="Times New Roman"/>
                <w:sz w:val="20"/>
                <w:szCs w:val="20"/>
              </w:rPr>
            </w:pPr>
            <w:r>
              <w:rPr>
                <w:rFonts w:eastAsia="Times New Roman"/>
                <w:sz w:val="20"/>
                <w:szCs w:val="20"/>
              </w:rPr>
              <w:t>Shiffman et al. (2015)</w:t>
            </w:r>
          </w:p>
        </w:tc>
      </w:tr>
    </w:tbl>
    <w:p w:rsidR="0012055B" w:rsidRDefault="0012055B">
      <w:pPr>
        <w:rPr>
          <w:rFonts w:eastAsia="Times New Roman"/>
          <w:sz w:val="20"/>
          <w:szCs w:val="20"/>
        </w:rPr>
      </w:pPr>
    </w:p>
    <w:p w:rsidR="0012055B" w:rsidRDefault="0012055B">
      <w:pPr>
        <w:rPr>
          <w:rFonts w:eastAsia="Times New Roman"/>
          <w:sz w:val="20"/>
          <w:szCs w:val="20"/>
        </w:rPr>
      </w:pPr>
    </w:p>
    <w:p w:rsidR="0012055B" w:rsidRDefault="0012055B">
      <w:pPr>
        <w:rPr>
          <w:rFonts w:eastAsia="Times New Roman"/>
          <w:sz w:val="20"/>
          <w:szCs w:val="20"/>
        </w:rPr>
      </w:pPr>
    </w:p>
    <w:p w:rsidR="0012055B" w:rsidRDefault="0012055B">
      <w:pPr>
        <w:rPr>
          <w:rFonts w:eastAsia="Times New Roman"/>
          <w:sz w:val="20"/>
          <w:szCs w:val="20"/>
        </w:rPr>
      </w:pPr>
    </w:p>
    <w:p w:rsidR="0012055B" w:rsidRDefault="004610A3" w:rsidP="00063513">
      <w:pPr>
        <w:spacing w:line="480" w:lineRule="auto"/>
        <w:rPr>
          <w:rFonts w:eastAsia="Times New Roman"/>
          <w:b/>
        </w:rPr>
      </w:pPr>
      <w:r>
        <w:rPr>
          <w:rFonts w:eastAsia="Times New Roman"/>
          <w:b/>
        </w:rPr>
        <w:t>Methodology</w:t>
      </w:r>
    </w:p>
    <w:p w:rsidR="0012055B" w:rsidRDefault="004610A3" w:rsidP="00063513">
      <w:pPr>
        <w:spacing w:line="480" w:lineRule="auto"/>
        <w:ind w:firstLine="720"/>
        <w:rPr>
          <w:rFonts w:eastAsia="Times New Roman"/>
        </w:rPr>
      </w:pPr>
      <w:r>
        <w:rPr>
          <w:rFonts w:eastAsia="Times New Roman"/>
        </w:rPr>
        <w:t>The analysis conducted in this paper is conducted using pooled data from 7 years of the National Youth Tobacco Survey (2011 - 2017). The survey is conducted annually from February to the end of June. Two dependent variables were created from survey responses. To judge effectiveness of ENDS regulation, I created a binary variable where 0 indicates that the respondent has not used ENDS in the past 30 days, and 1 indicates that the respondent has used ENDS at least one day out of the past 30. To analyze second order effects, I created a binary variable where 0 indicates that the respondent has not smoked cigarettes in the past 30 days and 1 indicates that the respondent has smoked cigarettes on at least 1 day of the past 30.</w:t>
      </w:r>
    </w:p>
    <w:p w:rsidR="0012055B" w:rsidRDefault="0012055B" w:rsidP="00063513">
      <w:pPr>
        <w:spacing w:line="480" w:lineRule="auto"/>
        <w:ind w:firstLine="720"/>
        <w:rPr>
          <w:rFonts w:eastAsia="Times New Roman"/>
        </w:rPr>
      </w:pPr>
    </w:p>
    <w:p w:rsidR="0012055B" w:rsidRDefault="004610A3" w:rsidP="00063513">
      <w:pPr>
        <w:spacing w:line="480" w:lineRule="auto"/>
        <w:ind w:firstLine="720"/>
        <w:rPr>
          <w:rFonts w:eastAsia="Times New Roman"/>
        </w:rPr>
      </w:pPr>
      <w:r>
        <w:rPr>
          <w:rFonts w:eastAsia="Times New Roman"/>
        </w:rPr>
        <w:t xml:space="preserve">Two primary explanatory variables were created using data from the CDC. Using information on enactment dates of state MLSA laws from the STATE system of the CDC, I created a binary variable to indicate the existence of a MLSA for a given state and year. Similarly, the binary variable SSDB indicates the existence of a self-service display ban for a given state and year. Information on SSDB enactment dates was sourced from a 2017 Morbidity and Mortality Weekly Report from the CDC. These variables were coded as 0 if a state had not yet enacted the law by May 1st of a given year and 1 if the law was in effect by May 1st. </w:t>
      </w:r>
    </w:p>
    <w:p w:rsidR="0012055B" w:rsidRDefault="0012055B" w:rsidP="00063513">
      <w:pPr>
        <w:spacing w:line="480" w:lineRule="auto"/>
        <w:ind w:firstLine="720"/>
        <w:rPr>
          <w:rFonts w:eastAsia="Times New Roman"/>
        </w:rPr>
      </w:pPr>
    </w:p>
    <w:p w:rsidR="0012055B" w:rsidRDefault="004610A3" w:rsidP="00063513">
      <w:pPr>
        <w:spacing w:line="480" w:lineRule="auto"/>
        <w:ind w:firstLine="720"/>
        <w:rPr>
          <w:rFonts w:eastAsia="Times New Roman"/>
        </w:rPr>
      </w:pPr>
      <w:r>
        <w:rPr>
          <w:rFonts w:eastAsia="Times New Roman"/>
        </w:rPr>
        <w:t xml:space="preserve">Following convention from Dutra et al., the </w:t>
      </w:r>
      <w:r w:rsidR="005A6B37">
        <w:rPr>
          <w:rFonts w:eastAsia="Times New Roman"/>
        </w:rPr>
        <w:t>sample was restricted to ages 11</w:t>
      </w:r>
      <w:r>
        <w:rPr>
          <w:rFonts w:eastAsia="Times New Roman"/>
        </w:rPr>
        <w:t xml:space="preserve"> through 17, the range for which there are both significant numbers of respondents and the respondents are covered by minimum </w:t>
      </w:r>
      <w:r w:rsidR="005A6B37">
        <w:rPr>
          <w:rFonts w:eastAsia="Times New Roman"/>
        </w:rPr>
        <w:t>legal sale age laws (n = 127,278</w:t>
      </w:r>
      <w:r>
        <w:rPr>
          <w:rFonts w:eastAsia="Times New Roman"/>
        </w:rPr>
        <w:t xml:space="preserve">). </w:t>
      </w:r>
      <w:r w:rsidR="000E4FB5">
        <w:rPr>
          <w:rFonts w:eastAsia="Times New Roman"/>
        </w:rPr>
        <w:t xml:space="preserve">For models controlling for level of ENDS use, the sample was further restricted, as a survey question for frequency of 30 ENDS use was only included beginning in 2014 (n = </w:t>
      </w:r>
      <w:r w:rsidR="00C61DB0">
        <w:rPr>
          <w:rFonts w:eastAsia="Times New Roman"/>
        </w:rPr>
        <w:t>69,854).</w:t>
      </w:r>
      <w:r w:rsidR="0019156A">
        <w:rPr>
          <w:rFonts w:eastAsia="Times New Roman"/>
        </w:rPr>
        <w:t xml:space="preserve"> </w:t>
      </w:r>
    </w:p>
    <w:p w:rsidR="0092036A" w:rsidRPr="00D83068" w:rsidRDefault="00D83068" w:rsidP="00D83068">
      <w:pPr>
        <w:spacing w:line="240" w:lineRule="auto"/>
        <w:rPr>
          <w:rFonts w:eastAsia="Times New Roman"/>
          <w:b/>
          <w:sz w:val="20"/>
          <w:szCs w:val="20"/>
        </w:rPr>
      </w:pPr>
      <w:r w:rsidRPr="00D83068">
        <w:rPr>
          <w:rFonts w:eastAsia="Times New Roman"/>
          <w:b/>
          <w:sz w:val="20"/>
          <w:szCs w:val="20"/>
        </w:rPr>
        <w:t>Table 1</w:t>
      </w:r>
    </w:p>
    <w:p w:rsidR="00D83068" w:rsidRPr="00D83068" w:rsidRDefault="00D83068" w:rsidP="00D83068">
      <w:pPr>
        <w:spacing w:line="240" w:lineRule="auto"/>
        <w:rPr>
          <w:rFonts w:eastAsia="Times New Roman"/>
          <w:sz w:val="20"/>
          <w:szCs w:val="20"/>
        </w:rPr>
      </w:pPr>
      <w:r w:rsidRPr="00D83068">
        <w:rPr>
          <w:rFonts w:eastAsia="Times New Roman"/>
          <w:sz w:val="20"/>
          <w:szCs w:val="20"/>
        </w:rPr>
        <w:t>Summary Statistics</w:t>
      </w:r>
    </w:p>
    <w:tbl>
      <w:tblPr>
        <w:tblStyle w:val="ListTable2"/>
        <w:tblW w:w="9738" w:type="dxa"/>
        <w:tblLook w:val="02A0" w:firstRow="1" w:lastRow="0" w:firstColumn="1" w:lastColumn="0" w:noHBand="1" w:noVBand="0"/>
      </w:tblPr>
      <w:tblGrid>
        <w:gridCol w:w="1188"/>
        <w:gridCol w:w="1309"/>
        <w:gridCol w:w="1308"/>
        <w:gridCol w:w="1265"/>
        <w:gridCol w:w="1218"/>
        <w:gridCol w:w="1163"/>
        <w:gridCol w:w="1100"/>
        <w:gridCol w:w="1187"/>
      </w:tblGrid>
      <w:tr w:rsidR="00B01192" w:rsidRPr="00D83068" w:rsidTr="00D70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513765" w:rsidRPr="00D83068" w:rsidRDefault="00513765" w:rsidP="00D83068">
            <w:pPr>
              <w:spacing w:line="360" w:lineRule="auto"/>
              <w:jc w:val="center"/>
              <w:rPr>
                <w:rFonts w:eastAsia="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309" w:type="dxa"/>
          </w:tcPr>
          <w:p w:rsidR="00513765" w:rsidRPr="00D83068" w:rsidRDefault="00513765" w:rsidP="00D83068">
            <w:pPr>
              <w:spacing w:line="360" w:lineRule="auto"/>
              <w:jc w:val="center"/>
              <w:rPr>
                <w:rFonts w:eastAsia="Times New Roman"/>
                <w:sz w:val="20"/>
                <w:szCs w:val="20"/>
              </w:rPr>
            </w:pPr>
            <w:r w:rsidRPr="00D83068">
              <w:rPr>
                <w:rFonts w:eastAsia="Times New Roman"/>
                <w:sz w:val="20"/>
                <w:szCs w:val="20"/>
              </w:rPr>
              <w:t>2011</w:t>
            </w:r>
          </w:p>
        </w:tc>
        <w:tc>
          <w:tcPr>
            <w:tcW w:w="1308" w:type="dxa"/>
          </w:tcPr>
          <w:p w:rsidR="00513765" w:rsidRPr="00D83068" w:rsidRDefault="00513765" w:rsidP="00D8306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2012</w:t>
            </w:r>
          </w:p>
        </w:tc>
        <w:tc>
          <w:tcPr>
            <w:cnfStyle w:val="000010000000" w:firstRow="0" w:lastRow="0" w:firstColumn="0" w:lastColumn="0" w:oddVBand="1" w:evenVBand="0" w:oddHBand="0" w:evenHBand="0" w:firstRowFirstColumn="0" w:firstRowLastColumn="0" w:lastRowFirstColumn="0" w:lastRowLastColumn="0"/>
            <w:tcW w:w="1265" w:type="dxa"/>
          </w:tcPr>
          <w:p w:rsidR="00513765" w:rsidRPr="00D83068" w:rsidRDefault="00513765" w:rsidP="00D83068">
            <w:pPr>
              <w:spacing w:line="360" w:lineRule="auto"/>
              <w:jc w:val="center"/>
              <w:rPr>
                <w:rFonts w:eastAsia="Times New Roman"/>
                <w:sz w:val="20"/>
                <w:szCs w:val="20"/>
              </w:rPr>
            </w:pPr>
            <w:r w:rsidRPr="00D83068">
              <w:rPr>
                <w:rFonts w:eastAsia="Times New Roman"/>
                <w:sz w:val="20"/>
                <w:szCs w:val="20"/>
              </w:rPr>
              <w:t>2013</w:t>
            </w:r>
          </w:p>
        </w:tc>
        <w:tc>
          <w:tcPr>
            <w:tcW w:w="1218" w:type="dxa"/>
          </w:tcPr>
          <w:p w:rsidR="00513765" w:rsidRPr="00D83068" w:rsidRDefault="00513765" w:rsidP="00D8306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2014</w:t>
            </w:r>
          </w:p>
        </w:tc>
        <w:tc>
          <w:tcPr>
            <w:cnfStyle w:val="000010000000" w:firstRow="0" w:lastRow="0" w:firstColumn="0" w:lastColumn="0" w:oddVBand="1" w:evenVBand="0" w:oddHBand="0" w:evenHBand="0" w:firstRowFirstColumn="0" w:firstRowLastColumn="0" w:lastRowFirstColumn="0" w:lastRowLastColumn="0"/>
            <w:tcW w:w="1163" w:type="dxa"/>
          </w:tcPr>
          <w:p w:rsidR="00513765" w:rsidRPr="00D83068" w:rsidRDefault="00513765" w:rsidP="00D83068">
            <w:pPr>
              <w:spacing w:line="360" w:lineRule="auto"/>
              <w:jc w:val="center"/>
              <w:rPr>
                <w:rFonts w:eastAsia="Times New Roman"/>
                <w:sz w:val="20"/>
                <w:szCs w:val="20"/>
              </w:rPr>
            </w:pPr>
            <w:r w:rsidRPr="00D83068">
              <w:rPr>
                <w:rFonts w:eastAsia="Times New Roman"/>
                <w:sz w:val="20"/>
                <w:szCs w:val="20"/>
              </w:rPr>
              <w:t>2015</w:t>
            </w:r>
          </w:p>
        </w:tc>
        <w:tc>
          <w:tcPr>
            <w:tcW w:w="1100" w:type="dxa"/>
          </w:tcPr>
          <w:p w:rsidR="00513765" w:rsidRPr="00D83068" w:rsidRDefault="00513765" w:rsidP="00D83068">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2016</w:t>
            </w:r>
          </w:p>
        </w:tc>
        <w:tc>
          <w:tcPr>
            <w:cnfStyle w:val="000010000000" w:firstRow="0" w:lastRow="0" w:firstColumn="0" w:lastColumn="0" w:oddVBand="1" w:evenVBand="0" w:oddHBand="0" w:evenHBand="0" w:firstRowFirstColumn="0" w:firstRowLastColumn="0" w:lastRowFirstColumn="0" w:lastRowLastColumn="0"/>
            <w:tcW w:w="1187" w:type="dxa"/>
          </w:tcPr>
          <w:p w:rsidR="00513765" w:rsidRPr="00D83068" w:rsidRDefault="00513765" w:rsidP="00D83068">
            <w:pPr>
              <w:spacing w:line="360" w:lineRule="auto"/>
              <w:jc w:val="center"/>
              <w:rPr>
                <w:rFonts w:eastAsia="Times New Roman"/>
                <w:sz w:val="20"/>
                <w:szCs w:val="20"/>
              </w:rPr>
            </w:pPr>
            <w:r w:rsidRPr="00D83068">
              <w:rPr>
                <w:rFonts w:eastAsia="Times New Roman"/>
                <w:sz w:val="20"/>
                <w:szCs w:val="20"/>
              </w:rPr>
              <w:t>2017</w:t>
            </w:r>
          </w:p>
        </w:tc>
      </w:tr>
      <w:tr w:rsidR="00D7060E" w:rsidRPr="00D83068" w:rsidTr="00D7060E">
        <w:tc>
          <w:tcPr>
            <w:cnfStyle w:val="001000000000" w:firstRow="0" w:lastRow="0" w:firstColumn="1" w:lastColumn="0" w:oddVBand="0" w:evenVBand="0" w:oddHBand="0" w:evenHBand="0" w:firstRowFirstColumn="0" w:firstRowLastColumn="0" w:lastRowFirstColumn="0" w:lastRowLastColumn="0"/>
            <w:tcW w:w="1188" w:type="dxa"/>
          </w:tcPr>
          <w:p w:rsidR="00C56721" w:rsidRPr="00D83068" w:rsidRDefault="00C56721" w:rsidP="00D83068">
            <w:pPr>
              <w:spacing w:line="360" w:lineRule="auto"/>
              <w:jc w:val="center"/>
              <w:rPr>
                <w:rFonts w:eastAsia="Times New Roman"/>
                <w:sz w:val="20"/>
                <w:szCs w:val="20"/>
              </w:rPr>
            </w:pPr>
            <w:r w:rsidRPr="00D83068">
              <w:rPr>
                <w:rFonts w:eastAsia="Times New Roman"/>
                <w:sz w:val="20"/>
                <w:szCs w:val="20"/>
              </w:rPr>
              <w:t>N</w:t>
            </w:r>
          </w:p>
        </w:tc>
        <w:tc>
          <w:tcPr>
            <w:cnfStyle w:val="000010000000" w:firstRow="0" w:lastRow="0" w:firstColumn="0" w:lastColumn="0" w:oddVBand="1" w:evenVBand="0" w:oddHBand="0" w:evenHBand="0" w:firstRowFirstColumn="0" w:firstRowLastColumn="0" w:lastRowFirstColumn="0" w:lastRowLastColumn="0"/>
            <w:tcW w:w="1309" w:type="dxa"/>
          </w:tcPr>
          <w:p w:rsidR="00C56721" w:rsidRPr="00D83068" w:rsidRDefault="00C56721" w:rsidP="00D83068">
            <w:pPr>
              <w:spacing w:line="360" w:lineRule="auto"/>
              <w:jc w:val="center"/>
              <w:rPr>
                <w:rFonts w:eastAsia="Times New Roman"/>
                <w:sz w:val="20"/>
                <w:szCs w:val="20"/>
              </w:rPr>
            </w:pPr>
            <w:r w:rsidRPr="00D83068">
              <w:rPr>
                <w:rFonts w:eastAsia="Times New Roman"/>
                <w:sz w:val="20"/>
                <w:szCs w:val="20"/>
              </w:rPr>
              <w:t>17,000</w:t>
            </w:r>
          </w:p>
        </w:tc>
        <w:tc>
          <w:tcPr>
            <w:tcW w:w="1308" w:type="dxa"/>
          </w:tcPr>
          <w:p w:rsidR="00C56721" w:rsidRPr="00D83068" w:rsidRDefault="00C56721"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22,383</w:t>
            </w:r>
          </w:p>
        </w:tc>
        <w:tc>
          <w:tcPr>
            <w:cnfStyle w:val="000010000000" w:firstRow="0" w:lastRow="0" w:firstColumn="0" w:lastColumn="0" w:oddVBand="1" w:evenVBand="0" w:oddHBand="0" w:evenHBand="0" w:firstRowFirstColumn="0" w:firstRowLastColumn="0" w:lastRowFirstColumn="0" w:lastRowLastColumn="0"/>
            <w:tcW w:w="1265" w:type="dxa"/>
          </w:tcPr>
          <w:p w:rsidR="00C56721" w:rsidRPr="00D83068" w:rsidRDefault="00C56721" w:rsidP="00D83068">
            <w:pPr>
              <w:spacing w:line="360" w:lineRule="auto"/>
              <w:jc w:val="center"/>
              <w:rPr>
                <w:rFonts w:eastAsia="Times New Roman"/>
                <w:sz w:val="20"/>
                <w:szCs w:val="20"/>
              </w:rPr>
            </w:pPr>
            <w:r w:rsidRPr="00D83068">
              <w:rPr>
                <w:rFonts w:eastAsia="Times New Roman"/>
                <w:sz w:val="20"/>
                <w:szCs w:val="20"/>
              </w:rPr>
              <w:t>16,636</w:t>
            </w:r>
          </w:p>
        </w:tc>
        <w:tc>
          <w:tcPr>
            <w:tcW w:w="1218" w:type="dxa"/>
          </w:tcPr>
          <w:p w:rsidR="00C56721" w:rsidRPr="00D83068" w:rsidRDefault="00C56721"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19,936</w:t>
            </w:r>
          </w:p>
        </w:tc>
        <w:tc>
          <w:tcPr>
            <w:cnfStyle w:val="000010000000" w:firstRow="0" w:lastRow="0" w:firstColumn="0" w:lastColumn="0" w:oddVBand="1" w:evenVBand="0" w:oddHBand="0" w:evenHBand="0" w:firstRowFirstColumn="0" w:firstRowLastColumn="0" w:lastRowFirstColumn="0" w:lastRowLastColumn="0"/>
            <w:tcW w:w="1163" w:type="dxa"/>
          </w:tcPr>
          <w:p w:rsidR="00C56721" w:rsidRPr="00D83068" w:rsidRDefault="00C56721" w:rsidP="00D83068">
            <w:pPr>
              <w:spacing w:line="360" w:lineRule="auto"/>
              <w:jc w:val="center"/>
              <w:rPr>
                <w:rFonts w:eastAsia="Times New Roman"/>
                <w:sz w:val="20"/>
                <w:szCs w:val="20"/>
              </w:rPr>
            </w:pPr>
            <w:r w:rsidRPr="00D83068">
              <w:rPr>
                <w:rFonts w:eastAsia="Times New Roman"/>
                <w:sz w:val="20"/>
                <w:szCs w:val="20"/>
              </w:rPr>
              <w:t>16,228</w:t>
            </w:r>
          </w:p>
        </w:tc>
        <w:tc>
          <w:tcPr>
            <w:tcW w:w="1100" w:type="dxa"/>
          </w:tcPr>
          <w:p w:rsidR="00C56721" w:rsidRPr="00D83068" w:rsidRDefault="00C56721"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18,873</w:t>
            </w:r>
          </w:p>
        </w:tc>
        <w:tc>
          <w:tcPr>
            <w:cnfStyle w:val="000010000000" w:firstRow="0" w:lastRow="0" w:firstColumn="0" w:lastColumn="0" w:oddVBand="1" w:evenVBand="0" w:oddHBand="0" w:evenHBand="0" w:firstRowFirstColumn="0" w:firstRowLastColumn="0" w:lastRowFirstColumn="0" w:lastRowLastColumn="0"/>
            <w:tcW w:w="1187" w:type="dxa"/>
          </w:tcPr>
          <w:p w:rsidR="00C56721" w:rsidRPr="00D83068" w:rsidRDefault="00C56721" w:rsidP="00D83068">
            <w:pPr>
              <w:spacing w:line="360" w:lineRule="auto"/>
              <w:jc w:val="center"/>
              <w:rPr>
                <w:rFonts w:eastAsia="Times New Roman"/>
                <w:sz w:val="20"/>
                <w:szCs w:val="20"/>
              </w:rPr>
            </w:pPr>
            <w:r w:rsidRPr="00D83068">
              <w:rPr>
                <w:rFonts w:eastAsia="Times New Roman"/>
                <w:sz w:val="20"/>
                <w:szCs w:val="20"/>
              </w:rPr>
              <w:t>16,222</w:t>
            </w:r>
          </w:p>
        </w:tc>
      </w:tr>
      <w:tr w:rsidR="00D7060E" w:rsidRPr="00D83068" w:rsidTr="00D7060E">
        <w:tc>
          <w:tcPr>
            <w:cnfStyle w:val="001000000000" w:firstRow="0" w:lastRow="0" w:firstColumn="1" w:lastColumn="0" w:oddVBand="0" w:evenVBand="0" w:oddHBand="0" w:evenHBand="0" w:firstRowFirstColumn="0" w:firstRowLastColumn="0" w:lastRowFirstColumn="0" w:lastRowLastColumn="0"/>
            <w:tcW w:w="1188" w:type="dxa"/>
          </w:tcPr>
          <w:p w:rsidR="00513765" w:rsidRPr="00D83068" w:rsidRDefault="00513765" w:rsidP="00D83068">
            <w:pPr>
              <w:spacing w:line="360" w:lineRule="auto"/>
              <w:jc w:val="center"/>
              <w:rPr>
                <w:rFonts w:eastAsia="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309" w:type="dxa"/>
          </w:tcPr>
          <w:p w:rsidR="0092036A" w:rsidRPr="00D83068" w:rsidRDefault="0092036A" w:rsidP="00D83068">
            <w:pPr>
              <w:spacing w:line="360" w:lineRule="auto"/>
              <w:jc w:val="center"/>
              <w:rPr>
                <w:rFonts w:eastAsia="Times New Roman"/>
                <w:sz w:val="20"/>
                <w:szCs w:val="20"/>
              </w:rPr>
            </w:pPr>
            <w:r w:rsidRPr="00D83068">
              <w:rPr>
                <w:rFonts w:eastAsia="Times New Roman"/>
                <w:sz w:val="20"/>
                <w:szCs w:val="20"/>
              </w:rPr>
              <w:t>[%]</w:t>
            </w:r>
          </w:p>
        </w:tc>
        <w:tc>
          <w:tcPr>
            <w:tcW w:w="1308" w:type="dxa"/>
          </w:tcPr>
          <w:p w:rsidR="0092036A" w:rsidRPr="00D83068" w:rsidRDefault="0092036A"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265" w:type="dxa"/>
          </w:tcPr>
          <w:p w:rsidR="00513765" w:rsidRPr="00D83068" w:rsidRDefault="0092036A" w:rsidP="00D83068">
            <w:pPr>
              <w:spacing w:line="360" w:lineRule="auto"/>
              <w:jc w:val="center"/>
              <w:rPr>
                <w:rFonts w:eastAsia="Times New Roman"/>
                <w:sz w:val="20"/>
                <w:szCs w:val="20"/>
              </w:rPr>
            </w:pPr>
            <w:r w:rsidRPr="00D83068">
              <w:rPr>
                <w:rFonts w:eastAsia="Times New Roman"/>
                <w:sz w:val="20"/>
                <w:szCs w:val="20"/>
              </w:rPr>
              <w:t>[%]</w:t>
            </w:r>
          </w:p>
        </w:tc>
        <w:tc>
          <w:tcPr>
            <w:tcW w:w="1218" w:type="dxa"/>
          </w:tcPr>
          <w:p w:rsidR="00513765" w:rsidRPr="00D83068" w:rsidRDefault="0092036A"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163" w:type="dxa"/>
          </w:tcPr>
          <w:p w:rsidR="00513765" w:rsidRPr="00D83068" w:rsidRDefault="0092036A" w:rsidP="00D83068">
            <w:pPr>
              <w:spacing w:line="360" w:lineRule="auto"/>
              <w:jc w:val="center"/>
              <w:rPr>
                <w:rFonts w:eastAsia="Times New Roman"/>
                <w:sz w:val="20"/>
                <w:szCs w:val="20"/>
              </w:rPr>
            </w:pPr>
            <w:r w:rsidRPr="00D83068">
              <w:rPr>
                <w:rFonts w:eastAsia="Times New Roman"/>
                <w:sz w:val="20"/>
                <w:szCs w:val="20"/>
              </w:rPr>
              <w:t>[%]</w:t>
            </w:r>
          </w:p>
        </w:tc>
        <w:tc>
          <w:tcPr>
            <w:tcW w:w="1100" w:type="dxa"/>
          </w:tcPr>
          <w:p w:rsidR="00513765" w:rsidRPr="00D83068" w:rsidRDefault="0092036A"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187" w:type="dxa"/>
          </w:tcPr>
          <w:p w:rsidR="00513765" w:rsidRPr="00D83068" w:rsidRDefault="0092036A" w:rsidP="00D83068">
            <w:pPr>
              <w:spacing w:line="360" w:lineRule="auto"/>
              <w:jc w:val="center"/>
              <w:rPr>
                <w:rFonts w:eastAsia="Times New Roman"/>
                <w:sz w:val="20"/>
                <w:szCs w:val="20"/>
              </w:rPr>
            </w:pPr>
            <w:r w:rsidRPr="00D83068">
              <w:rPr>
                <w:rFonts w:eastAsia="Times New Roman"/>
                <w:sz w:val="20"/>
                <w:szCs w:val="20"/>
              </w:rPr>
              <w:t>[%]</w:t>
            </w:r>
          </w:p>
        </w:tc>
      </w:tr>
      <w:tr w:rsidR="00D7060E" w:rsidRPr="00D83068" w:rsidTr="00D7060E">
        <w:tc>
          <w:tcPr>
            <w:cnfStyle w:val="001000000000" w:firstRow="0" w:lastRow="0" w:firstColumn="1" w:lastColumn="0" w:oddVBand="0" w:evenVBand="0" w:oddHBand="0" w:evenHBand="0" w:firstRowFirstColumn="0" w:firstRowLastColumn="0" w:lastRowFirstColumn="0" w:lastRowLastColumn="0"/>
            <w:tcW w:w="1188" w:type="dxa"/>
          </w:tcPr>
          <w:p w:rsidR="0092036A" w:rsidRPr="00D83068" w:rsidRDefault="0092036A" w:rsidP="00D83068">
            <w:pPr>
              <w:spacing w:line="360" w:lineRule="auto"/>
              <w:jc w:val="center"/>
              <w:rPr>
                <w:rFonts w:eastAsia="Times New Roman"/>
                <w:sz w:val="20"/>
                <w:szCs w:val="20"/>
              </w:rPr>
            </w:pPr>
            <w:r w:rsidRPr="00D83068">
              <w:rPr>
                <w:rFonts w:eastAsia="Times New Roman"/>
                <w:sz w:val="20"/>
                <w:szCs w:val="20"/>
              </w:rPr>
              <w:t>MLSA</w:t>
            </w:r>
          </w:p>
        </w:tc>
        <w:tc>
          <w:tcPr>
            <w:cnfStyle w:val="000010000000" w:firstRow="0" w:lastRow="0" w:firstColumn="0" w:lastColumn="0" w:oddVBand="1" w:evenVBand="0" w:oddHBand="0" w:evenHBand="0" w:firstRowFirstColumn="0" w:firstRowLastColumn="0" w:lastRowFirstColumn="0" w:lastRowLastColumn="0"/>
            <w:tcW w:w="1309" w:type="dxa"/>
          </w:tcPr>
          <w:p w:rsidR="0092036A" w:rsidRPr="00D83068" w:rsidRDefault="0092036A" w:rsidP="00D83068">
            <w:pPr>
              <w:spacing w:line="360" w:lineRule="auto"/>
              <w:jc w:val="center"/>
              <w:rPr>
                <w:rFonts w:eastAsia="Times New Roman"/>
                <w:sz w:val="20"/>
                <w:szCs w:val="20"/>
              </w:rPr>
            </w:pPr>
            <w:r w:rsidRPr="00D83068">
              <w:rPr>
                <w:rFonts w:eastAsia="Times New Roman"/>
                <w:sz w:val="20"/>
                <w:szCs w:val="20"/>
              </w:rPr>
              <w:t>[18.27]</w:t>
            </w:r>
          </w:p>
        </w:tc>
        <w:tc>
          <w:tcPr>
            <w:tcW w:w="1308" w:type="dxa"/>
          </w:tcPr>
          <w:p w:rsidR="0092036A" w:rsidRPr="00D83068" w:rsidRDefault="0092036A"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[25.76]</w:t>
            </w:r>
          </w:p>
        </w:tc>
        <w:tc>
          <w:tcPr>
            <w:cnfStyle w:val="000010000000" w:firstRow="0" w:lastRow="0" w:firstColumn="0" w:lastColumn="0" w:oddVBand="1" w:evenVBand="0" w:oddHBand="0" w:evenHBand="0" w:firstRowFirstColumn="0" w:firstRowLastColumn="0" w:lastRowFirstColumn="0" w:lastRowLastColumn="0"/>
            <w:tcW w:w="1265" w:type="dxa"/>
          </w:tcPr>
          <w:p w:rsidR="0092036A" w:rsidRPr="00D83068" w:rsidRDefault="0092036A" w:rsidP="00D83068">
            <w:pPr>
              <w:spacing w:line="360" w:lineRule="auto"/>
              <w:jc w:val="center"/>
              <w:rPr>
                <w:rFonts w:eastAsia="Times New Roman"/>
                <w:sz w:val="20"/>
                <w:szCs w:val="20"/>
              </w:rPr>
            </w:pPr>
            <w:r w:rsidRPr="00D83068">
              <w:rPr>
                <w:rFonts w:eastAsia="Times New Roman"/>
                <w:sz w:val="20"/>
                <w:szCs w:val="20"/>
              </w:rPr>
              <w:t>[41.39]</w:t>
            </w:r>
          </w:p>
        </w:tc>
        <w:tc>
          <w:tcPr>
            <w:tcW w:w="1218" w:type="dxa"/>
          </w:tcPr>
          <w:p w:rsidR="0092036A" w:rsidRPr="00D83068" w:rsidRDefault="0092036A"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[49.26]</w:t>
            </w:r>
          </w:p>
        </w:tc>
        <w:tc>
          <w:tcPr>
            <w:cnfStyle w:val="000010000000" w:firstRow="0" w:lastRow="0" w:firstColumn="0" w:lastColumn="0" w:oddVBand="1" w:evenVBand="0" w:oddHBand="0" w:evenHBand="0" w:firstRowFirstColumn="0" w:firstRowLastColumn="0" w:lastRowFirstColumn="0" w:lastRowLastColumn="0"/>
            <w:tcW w:w="1163" w:type="dxa"/>
          </w:tcPr>
          <w:p w:rsidR="0092036A" w:rsidRPr="00D83068" w:rsidRDefault="0092036A" w:rsidP="00D83068">
            <w:pPr>
              <w:spacing w:line="360" w:lineRule="auto"/>
              <w:jc w:val="center"/>
              <w:rPr>
                <w:rFonts w:eastAsia="Times New Roman"/>
                <w:sz w:val="20"/>
                <w:szCs w:val="20"/>
              </w:rPr>
            </w:pPr>
            <w:r w:rsidRPr="00D83068">
              <w:rPr>
                <w:rFonts w:eastAsia="Times New Roman"/>
                <w:sz w:val="20"/>
                <w:szCs w:val="20"/>
              </w:rPr>
              <w:t>[78.41]</w:t>
            </w:r>
          </w:p>
        </w:tc>
        <w:tc>
          <w:tcPr>
            <w:tcW w:w="1100" w:type="dxa"/>
          </w:tcPr>
          <w:p w:rsidR="0092036A" w:rsidRPr="00D83068" w:rsidRDefault="0092036A"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[91.26]</w:t>
            </w:r>
          </w:p>
        </w:tc>
        <w:tc>
          <w:tcPr>
            <w:cnfStyle w:val="000010000000" w:firstRow="0" w:lastRow="0" w:firstColumn="0" w:lastColumn="0" w:oddVBand="1" w:evenVBand="0" w:oddHBand="0" w:evenHBand="0" w:firstRowFirstColumn="0" w:firstRowLastColumn="0" w:lastRowFirstColumn="0" w:lastRowLastColumn="0"/>
            <w:tcW w:w="1187" w:type="dxa"/>
          </w:tcPr>
          <w:p w:rsidR="0092036A" w:rsidRPr="00D83068" w:rsidRDefault="0092036A" w:rsidP="00D83068">
            <w:pPr>
              <w:spacing w:line="360" w:lineRule="auto"/>
              <w:jc w:val="center"/>
              <w:rPr>
                <w:rFonts w:eastAsia="Times New Roman"/>
                <w:sz w:val="20"/>
                <w:szCs w:val="20"/>
              </w:rPr>
            </w:pPr>
            <w:r w:rsidRPr="00D83068">
              <w:rPr>
                <w:rFonts w:eastAsia="Times New Roman"/>
                <w:sz w:val="20"/>
                <w:szCs w:val="20"/>
              </w:rPr>
              <w:t>[100]</w:t>
            </w:r>
          </w:p>
        </w:tc>
      </w:tr>
      <w:tr w:rsidR="00D7060E" w:rsidRPr="00D83068" w:rsidTr="00D7060E">
        <w:tc>
          <w:tcPr>
            <w:cnfStyle w:val="001000000000" w:firstRow="0" w:lastRow="0" w:firstColumn="1" w:lastColumn="0" w:oddVBand="0" w:evenVBand="0" w:oddHBand="0" w:evenHBand="0" w:firstRowFirstColumn="0" w:firstRowLastColumn="0" w:lastRowFirstColumn="0" w:lastRowLastColumn="0"/>
            <w:tcW w:w="1188" w:type="dxa"/>
          </w:tcPr>
          <w:p w:rsidR="0019156A" w:rsidRPr="00D83068" w:rsidRDefault="00C56721" w:rsidP="00D83068">
            <w:pPr>
              <w:spacing w:line="360" w:lineRule="auto"/>
              <w:jc w:val="center"/>
              <w:rPr>
                <w:rFonts w:eastAsia="Times New Roman"/>
                <w:sz w:val="20"/>
                <w:szCs w:val="20"/>
              </w:rPr>
            </w:pPr>
            <w:r w:rsidRPr="00D83068">
              <w:rPr>
                <w:rFonts w:eastAsia="Times New Roman"/>
                <w:sz w:val="20"/>
                <w:szCs w:val="20"/>
              </w:rPr>
              <w:t>SSDB</w:t>
            </w:r>
          </w:p>
        </w:tc>
        <w:tc>
          <w:tcPr>
            <w:cnfStyle w:val="000010000000" w:firstRow="0" w:lastRow="0" w:firstColumn="0" w:lastColumn="0" w:oddVBand="1" w:evenVBand="0" w:oddHBand="0" w:evenHBand="0" w:firstRowFirstColumn="0" w:firstRowLastColumn="0" w:lastRowFirstColumn="0" w:lastRowLastColumn="0"/>
            <w:tcW w:w="1309" w:type="dxa"/>
          </w:tcPr>
          <w:p w:rsidR="0094502F" w:rsidRPr="00D83068" w:rsidRDefault="0094502F" w:rsidP="00D83068">
            <w:pPr>
              <w:spacing w:line="360" w:lineRule="auto"/>
              <w:jc w:val="center"/>
              <w:rPr>
                <w:rFonts w:eastAsia="Times New Roman"/>
                <w:sz w:val="20"/>
                <w:szCs w:val="20"/>
              </w:rPr>
            </w:pPr>
            <w:r w:rsidRPr="00D83068">
              <w:rPr>
                <w:rFonts w:eastAsia="Times New Roman"/>
                <w:sz w:val="20"/>
                <w:szCs w:val="20"/>
              </w:rPr>
              <w:t>[0]</w:t>
            </w:r>
          </w:p>
        </w:tc>
        <w:tc>
          <w:tcPr>
            <w:tcW w:w="1308" w:type="dxa"/>
          </w:tcPr>
          <w:p w:rsidR="0094502F" w:rsidRPr="00D83068" w:rsidRDefault="0094502F"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[0]</w:t>
            </w:r>
          </w:p>
        </w:tc>
        <w:tc>
          <w:tcPr>
            <w:cnfStyle w:val="000010000000" w:firstRow="0" w:lastRow="0" w:firstColumn="0" w:lastColumn="0" w:oddVBand="1" w:evenVBand="0" w:oddHBand="0" w:evenHBand="0" w:firstRowFirstColumn="0" w:firstRowLastColumn="0" w:lastRowFirstColumn="0" w:lastRowLastColumn="0"/>
            <w:tcW w:w="1265" w:type="dxa"/>
          </w:tcPr>
          <w:p w:rsidR="0094502F" w:rsidRPr="00D83068" w:rsidRDefault="0094502F" w:rsidP="00D83068">
            <w:pPr>
              <w:spacing w:line="360" w:lineRule="auto"/>
              <w:jc w:val="center"/>
              <w:rPr>
                <w:rFonts w:eastAsia="Times New Roman"/>
                <w:sz w:val="20"/>
                <w:szCs w:val="20"/>
              </w:rPr>
            </w:pPr>
            <w:r w:rsidRPr="00D83068">
              <w:rPr>
                <w:rFonts w:eastAsia="Times New Roman"/>
                <w:sz w:val="20"/>
                <w:szCs w:val="20"/>
              </w:rPr>
              <w:t>[1.05]</w:t>
            </w:r>
          </w:p>
        </w:tc>
        <w:tc>
          <w:tcPr>
            <w:tcW w:w="1218" w:type="dxa"/>
          </w:tcPr>
          <w:p w:rsidR="0094502F" w:rsidRPr="00D83068" w:rsidRDefault="0094502F"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[1]</w:t>
            </w:r>
          </w:p>
        </w:tc>
        <w:tc>
          <w:tcPr>
            <w:cnfStyle w:val="000010000000" w:firstRow="0" w:lastRow="0" w:firstColumn="0" w:lastColumn="0" w:oddVBand="1" w:evenVBand="0" w:oddHBand="0" w:evenHBand="0" w:firstRowFirstColumn="0" w:firstRowLastColumn="0" w:lastRowFirstColumn="0" w:lastRowLastColumn="0"/>
            <w:tcW w:w="1163" w:type="dxa"/>
          </w:tcPr>
          <w:p w:rsidR="0094502F" w:rsidRPr="00D83068" w:rsidRDefault="0094502F" w:rsidP="00D83068">
            <w:pPr>
              <w:spacing w:line="360" w:lineRule="auto"/>
              <w:jc w:val="center"/>
              <w:rPr>
                <w:rFonts w:eastAsia="Times New Roman"/>
                <w:sz w:val="20"/>
                <w:szCs w:val="20"/>
              </w:rPr>
            </w:pPr>
            <w:r w:rsidRPr="00D83068">
              <w:rPr>
                <w:rFonts w:eastAsia="Times New Roman"/>
                <w:sz w:val="20"/>
                <w:szCs w:val="20"/>
              </w:rPr>
              <w:t>[28.01]</w:t>
            </w:r>
          </w:p>
        </w:tc>
        <w:tc>
          <w:tcPr>
            <w:tcW w:w="1100" w:type="dxa"/>
          </w:tcPr>
          <w:p w:rsidR="005A6B37" w:rsidRPr="00D83068" w:rsidRDefault="005A6B37"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[38.71]</w:t>
            </w:r>
          </w:p>
        </w:tc>
        <w:tc>
          <w:tcPr>
            <w:cnfStyle w:val="000010000000" w:firstRow="0" w:lastRow="0" w:firstColumn="0" w:lastColumn="0" w:oddVBand="1" w:evenVBand="0" w:oddHBand="0" w:evenHBand="0" w:firstRowFirstColumn="0" w:firstRowLastColumn="0" w:lastRowFirstColumn="0" w:lastRowLastColumn="0"/>
            <w:tcW w:w="1187" w:type="dxa"/>
          </w:tcPr>
          <w:p w:rsidR="005A6B37" w:rsidRPr="00D83068" w:rsidRDefault="005A6B37" w:rsidP="00D83068">
            <w:pPr>
              <w:spacing w:line="360" w:lineRule="auto"/>
              <w:jc w:val="center"/>
              <w:rPr>
                <w:rFonts w:eastAsia="Times New Roman"/>
                <w:sz w:val="20"/>
                <w:szCs w:val="20"/>
              </w:rPr>
            </w:pPr>
            <w:r w:rsidRPr="00D83068">
              <w:rPr>
                <w:rFonts w:eastAsia="Times New Roman"/>
                <w:sz w:val="20"/>
                <w:szCs w:val="20"/>
              </w:rPr>
              <w:t>[100]</w:t>
            </w:r>
          </w:p>
        </w:tc>
      </w:tr>
      <w:tr w:rsidR="00D7060E" w:rsidRPr="00D83068" w:rsidTr="00D7060E">
        <w:tc>
          <w:tcPr>
            <w:cnfStyle w:val="001000000000" w:firstRow="0" w:lastRow="0" w:firstColumn="1" w:lastColumn="0" w:oddVBand="0" w:evenVBand="0" w:oddHBand="0" w:evenHBand="0" w:firstRowFirstColumn="0" w:firstRowLastColumn="0" w:lastRowFirstColumn="0" w:lastRowLastColumn="0"/>
            <w:tcW w:w="1188" w:type="dxa"/>
          </w:tcPr>
          <w:p w:rsidR="00C56721" w:rsidRPr="00D83068" w:rsidRDefault="00FD68DC" w:rsidP="00D83068">
            <w:pPr>
              <w:spacing w:line="360" w:lineRule="auto"/>
              <w:jc w:val="center"/>
              <w:rPr>
                <w:rFonts w:eastAsia="Times New Roman"/>
                <w:sz w:val="20"/>
                <w:szCs w:val="20"/>
              </w:rPr>
            </w:pPr>
            <w:r w:rsidRPr="00D83068">
              <w:rPr>
                <w:rFonts w:eastAsia="Times New Roman"/>
                <w:sz w:val="20"/>
                <w:szCs w:val="20"/>
              </w:rPr>
              <w:t>Male</w:t>
            </w:r>
          </w:p>
        </w:tc>
        <w:tc>
          <w:tcPr>
            <w:cnfStyle w:val="000010000000" w:firstRow="0" w:lastRow="0" w:firstColumn="0" w:lastColumn="0" w:oddVBand="1" w:evenVBand="0" w:oddHBand="0" w:evenHBand="0" w:firstRowFirstColumn="0" w:firstRowLastColumn="0" w:lastRowFirstColumn="0" w:lastRowLastColumn="0"/>
            <w:tcW w:w="1309" w:type="dxa"/>
          </w:tcPr>
          <w:p w:rsidR="00C56721" w:rsidRPr="00D83068" w:rsidRDefault="00FD68DC" w:rsidP="00D83068">
            <w:pPr>
              <w:spacing w:line="360" w:lineRule="auto"/>
              <w:jc w:val="center"/>
              <w:rPr>
                <w:rFonts w:eastAsia="Times New Roman"/>
                <w:sz w:val="20"/>
                <w:szCs w:val="20"/>
              </w:rPr>
            </w:pPr>
            <w:r w:rsidRPr="00D83068">
              <w:rPr>
                <w:rFonts w:eastAsia="Times New Roman"/>
                <w:sz w:val="20"/>
                <w:szCs w:val="20"/>
              </w:rPr>
              <w:t>[50.75]</w:t>
            </w:r>
          </w:p>
        </w:tc>
        <w:tc>
          <w:tcPr>
            <w:tcW w:w="1308" w:type="dxa"/>
          </w:tcPr>
          <w:p w:rsidR="00C56721" w:rsidRPr="00D83068" w:rsidRDefault="00FD68DC"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[50.42]</w:t>
            </w:r>
          </w:p>
        </w:tc>
        <w:tc>
          <w:tcPr>
            <w:cnfStyle w:val="000010000000" w:firstRow="0" w:lastRow="0" w:firstColumn="0" w:lastColumn="0" w:oddVBand="1" w:evenVBand="0" w:oddHBand="0" w:evenHBand="0" w:firstRowFirstColumn="0" w:firstRowLastColumn="0" w:lastRowFirstColumn="0" w:lastRowLastColumn="0"/>
            <w:tcW w:w="1265" w:type="dxa"/>
          </w:tcPr>
          <w:p w:rsidR="00C56721" w:rsidRPr="00D83068" w:rsidRDefault="00FD68DC" w:rsidP="00D83068">
            <w:pPr>
              <w:spacing w:line="360" w:lineRule="auto"/>
              <w:jc w:val="center"/>
              <w:rPr>
                <w:rFonts w:eastAsia="Times New Roman"/>
                <w:sz w:val="20"/>
                <w:szCs w:val="20"/>
              </w:rPr>
            </w:pPr>
            <w:r w:rsidRPr="00D83068">
              <w:rPr>
                <w:rFonts w:eastAsia="Times New Roman"/>
                <w:sz w:val="20"/>
                <w:szCs w:val="20"/>
              </w:rPr>
              <w:t>[49.44]</w:t>
            </w:r>
          </w:p>
        </w:tc>
        <w:tc>
          <w:tcPr>
            <w:tcW w:w="1218" w:type="dxa"/>
          </w:tcPr>
          <w:p w:rsidR="00C56721" w:rsidRPr="00D83068" w:rsidRDefault="00FD68DC"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[50.80]</w:t>
            </w:r>
          </w:p>
        </w:tc>
        <w:tc>
          <w:tcPr>
            <w:cnfStyle w:val="000010000000" w:firstRow="0" w:lastRow="0" w:firstColumn="0" w:lastColumn="0" w:oddVBand="1" w:evenVBand="0" w:oddHBand="0" w:evenHBand="0" w:firstRowFirstColumn="0" w:firstRowLastColumn="0" w:lastRowFirstColumn="0" w:lastRowLastColumn="0"/>
            <w:tcW w:w="1163" w:type="dxa"/>
          </w:tcPr>
          <w:p w:rsidR="00C56721" w:rsidRPr="00D83068" w:rsidRDefault="00FD68DC" w:rsidP="00D83068">
            <w:pPr>
              <w:spacing w:line="360" w:lineRule="auto"/>
              <w:jc w:val="center"/>
              <w:rPr>
                <w:rFonts w:eastAsia="Times New Roman"/>
                <w:sz w:val="20"/>
                <w:szCs w:val="20"/>
              </w:rPr>
            </w:pPr>
            <w:r w:rsidRPr="00D83068">
              <w:rPr>
                <w:rFonts w:eastAsia="Times New Roman"/>
                <w:sz w:val="20"/>
                <w:szCs w:val="20"/>
              </w:rPr>
              <w:t>[50.33]</w:t>
            </w:r>
          </w:p>
        </w:tc>
        <w:tc>
          <w:tcPr>
            <w:tcW w:w="1100" w:type="dxa"/>
          </w:tcPr>
          <w:p w:rsidR="00C56721" w:rsidRPr="00D83068" w:rsidRDefault="00FD68DC"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[50.56]</w:t>
            </w:r>
          </w:p>
        </w:tc>
        <w:tc>
          <w:tcPr>
            <w:cnfStyle w:val="000010000000" w:firstRow="0" w:lastRow="0" w:firstColumn="0" w:lastColumn="0" w:oddVBand="1" w:evenVBand="0" w:oddHBand="0" w:evenHBand="0" w:firstRowFirstColumn="0" w:firstRowLastColumn="0" w:lastRowFirstColumn="0" w:lastRowLastColumn="0"/>
            <w:tcW w:w="1187" w:type="dxa"/>
          </w:tcPr>
          <w:p w:rsidR="00C56721" w:rsidRPr="00D83068" w:rsidRDefault="00FD68DC" w:rsidP="00D83068">
            <w:pPr>
              <w:spacing w:line="360" w:lineRule="auto"/>
              <w:jc w:val="center"/>
              <w:rPr>
                <w:rFonts w:eastAsia="Times New Roman"/>
                <w:sz w:val="20"/>
                <w:szCs w:val="20"/>
              </w:rPr>
            </w:pPr>
            <w:r w:rsidRPr="00D83068">
              <w:rPr>
                <w:rFonts w:eastAsia="Times New Roman"/>
                <w:sz w:val="20"/>
                <w:szCs w:val="20"/>
              </w:rPr>
              <w:t>[49.63]</w:t>
            </w:r>
          </w:p>
        </w:tc>
      </w:tr>
      <w:tr w:rsidR="00D7060E" w:rsidRPr="00D83068" w:rsidTr="00D7060E">
        <w:tc>
          <w:tcPr>
            <w:cnfStyle w:val="001000000000" w:firstRow="0" w:lastRow="0" w:firstColumn="1" w:lastColumn="0" w:oddVBand="0" w:evenVBand="0" w:oddHBand="0" w:evenHBand="0" w:firstRowFirstColumn="0" w:firstRowLastColumn="0" w:lastRowFirstColumn="0" w:lastRowLastColumn="0"/>
            <w:tcW w:w="1188" w:type="dxa"/>
          </w:tcPr>
          <w:p w:rsidR="00FD68DC" w:rsidRPr="00D83068" w:rsidRDefault="00FD68DC" w:rsidP="00D83068">
            <w:pPr>
              <w:spacing w:line="360" w:lineRule="auto"/>
              <w:jc w:val="center"/>
              <w:rPr>
                <w:rFonts w:eastAsia="Times New Roman"/>
                <w:sz w:val="20"/>
                <w:szCs w:val="20"/>
              </w:rPr>
            </w:pPr>
            <w:r w:rsidRPr="00D83068">
              <w:rPr>
                <w:rFonts w:eastAsia="Times New Roman"/>
                <w:sz w:val="20"/>
                <w:szCs w:val="20"/>
              </w:rPr>
              <w:t>Female</w:t>
            </w:r>
          </w:p>
        </w:tc>
        <w:tc>
          <w:tcPr>
            <w:cnfStyle w:val="000010000000" w:firstRow="0" w:lastRow="0" w:firstColumn="0" w:lastColumn="0" w:oddVBand="1" w:evenVBand="0" w:oddHBand="0" w:evenHBand="0" w:firstRowFirstColumn="0" w:firstRowLastColumn="0" w:lastRowFirstColumn="0" w:lastRowLastColumn="0"/>
            <w:tcW w:w="1309" w:type="dxa"/>
          </w:tcPr>
          <w:p w:rsidR="00FD68DC" w:rsidRPr="00D83068" w:rsidRDefault="00FD68DC" w:rsidP="00D83068">
            <w:pPr>
              <w:spacing w:line="360" w:lineRule="auto"/>
              <w:jc w:val="center"/>
              <w:rPr>
                <w:rFonts w:eastAsia="Times New Roman"/>
                <w:sz w:val="20"/>
                <w:szCs w:val="20"/>
              </w:rPr>
            </w:pPr>
            <w:r w:rsidRPr="00D83068">
              <w:rPr>
                <w:rFonts w:eastAsia="Times New Roman"/>
                <w:sz w:val="20"/>
                <w:szCs w:val="20"/>
              </w:rPr>
              <w:t>[49.25]</w:t>
            </w:r>
          </w:p>
        </w:tc>
        <w:tc>
          <w:tcPr>
            <w:tcW w:w="1308" w:type="dxa"/>
          </w:tcPr>
          <w:p w:rsidR="00FD68DC" w:rsidRPr="00D83068" w:rsidRDefault="00FD68DC"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[49.58]</w:t>
            </w:r>
          </w:p>
        </w:tc>
        <w:tc>
          <w:tcPr>
            <w:cnfStyle w:val="000010000000" w:firstRow="0" w:lastRow="0" w:firstColumn="0" w:lastColumn="0" w:oddVBand="1" w:evenVBand="0" w:oddHBand="0" w:evenHBand="0" w:firstRowFirstColumn="0" w:firstRowLastColumn="0" w:lastRowFirstColumn="0" w:lastRowLastColumn="0"/>
            <w:tcW w:w="1265" w:type="dxa"/>
          </w:tcPr>
          <w:p w:rsidR="00FD68DC" w:rsidRPr="00D83068" w:rsidRDefault="00FD68DC" w:rsidP="00D83068">
            <w:pPr>
              <w:spacing w:line="360" w:lineRule="auto"/>
              <w:jc w:val="center"/>
              <w:rPr>
                <w:rFonts w:eastAsia="Times New Roman"/>
                <w:sz w:val="20"/>
                <w:szCs w:val="20"/>
              </w:rPr>
            </w:pPr>
            <w:r w:rsidRPr="00D83068">
              <w:rPr>
                <w:rFonts w:eastAsia="Times New Roman"/>
                <w:sz w:val="20"/>
                <w:szCs w:val="20"/>
              </w:rPr>
              <w:t>[50.56]</w:t>
            </w:r>
          </w:p>
        </w:tc>
        <w:tc>
          <w:tcPr>
            <w:tcW w:w="1218" w:type="dxa"/>
          </w:tcPr>
          <w:p w:rsidR="00FD68DC" w:rsidRPr="00D83068" w:rsidRDefault="00FD68DC"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[49.20]</w:t>
            </w:r>
          </w:p>
        </w:tc>
        <w:tc>
          <w:tcPr>
            <w:cnfStyle w:val="000010000000" w:firstRow="0" w:lastRow="0" w:firstColumn="0" w:lastColumn="0" w:oddVBand="1" w:evenVBand="0" w:oddHBand="0" w:evenHBand="0" w:firstRowFirstColumn="0" w:firstRowLastColumn="0" w:lastRowFirstColumn="0" w:lastRowLastColumn="0"/>
            <w:tcW w:w="1163" w:type="dxa"/>
          </w:tcPr>
          <w:p w:rsidR="00FD68DC" w:rsidRPr="00D83068" w:rsidRDefault="00FD68DC" w:rsidP="00D83068">
            <w:pPr>
              <w:spacing w:line="360" w:lineRule="auto"/>
              <w:jc w:val="center"/>
              <w:rPr>
                <w:rFonts w:eastAsia="Times New Roman"/>
                <w:sz w:val="20"/>
                <w:szCs w:val="20"/>
              </w:rPr>
            </w:pPr>
            <w:r w:rsidRPr="00D83068">
              <w:rPr>
                <w:rFonts w:eastAsia="Times New Roman"/>
                <w:sz w:val="20"/>
                <w:szCs w:val="20"/>
              </w:rPr>
              <w:t>[49.67]</w:t>
            </w:r>
          </w:p>
        </w:tc>
        <w:tc>
          <w:tcPr>
            <w:tcW w:w="1100" w:type="dxa"/>
          </w:tcPr>
          <w:p w:rsidR="00FD68DC" w:rsidRPr="00D83068" w:rsidRDefault="00FD68DC"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[49.44]</w:t>
            </w:r>
          </w:p>
        </w:tc>
        <w:tc>
          <w:tcPr>
            <w:cnfStyle w:val="000010000000" w:firstRow="0" w:lastRow="0" w:firstColumn="0" w:lastColumn="0" w:oddVBand="1" w:evenVBand="0" w:oddHBand="0" w:evenHBand="0" w:firstRowFirstColumn="0" w:firstRowLastColumn="0" w:lastRowFirstColumn="0" w:lastRowLastColumn="0"/>
            <w:tcW w:w="1187" w:type="dxa"/>
          </w:tcPr>
          <w:p w:rsidR="00FD68DC" w:rsidRPr="00D83068" w:rsidRDefault="00FD68DC" w:rsidP="00D83068">
            <w:pPr>
              <w:spacing w:line="360" w:lineRule="auto"/>
              <w:jc w:val="center"/>
              <w:rPr>
                <w:rFonts w:eastAsia="Times New Roman"/>
                <w:sz w:val="20"/>
                <w:szCs w:val="20"/>
              </w:rPr>
            </w:pPr>
            <w:r w:rsidRPr="00D83068">
              <w:rPr>
                <w:rFonts w:eastAsia="Times New Roman"/>
                <w:sz w:val="20"/>
                <w:szCs w:val="20"/>
              </w:rPr>
              <w:t>[50.37]</w:t>
            </w:r>
          </w:p>
        </w:tc>
      </w:tr>
      <w:tr w:rsidR="00D83068" w:rsidRPr="00D83068" w:rsidTr="00D7060E">
        <w:tc>
          <w:tcPr>
            <w:cnfStyle w:val="001000000000" w:firstRow="0" w:lastRow="0" w:firstColumn="1" w:lastColumn="0" w:oddVBand="0" w:evenVBand="0" w:oddHBand="0" w:evenHBand="0" w:firstRowFirstColumn="0" w:firstRowLastColumn="0" w:lastRowFirstColumn="0" w:lastRowLastColumn="0"/>
            <w:tcW w:w="1188" w:type="dxa"/>
          </w:tcPr>
          <w:p w:rsidR="00FD68DC" w:rsidRPr="00D83068" w:rsidRDefault="00FD68DC" w:rsidP="00D83068">
            <w:pPr>
              <w:spacing w:line="360" w:lineRule="auto"/>
              <w:jc w:val="center"/>
              <w:rPr>
                <w:rFonts w:eastAsia="Times New Roman"/>
                <w:sz w:val="20"/>
                <w:szCs w:val="20"/>
              </w:rPr>
            </w:pPr>
            <w:r w:rsidRPr="00D83068">
              <w:rPr>
                <w:rFonts w:eastAsia="Times New Roman"/>
                <w:sz w:val="20"/>
                <w:szCs w:val="20"/>
              </w:rPr>
              <w:t>Asian</w:t>
            </w:r>
          </w:p>
        </w:tc>
        <w:tc>
          <w:tcPr>
            <w:cnfStyle w:val="000010000000" w:firstRow="0" w:lastRow="0" w:firstColumn="0" w:lastColumn="0" w:oddVBand="1" w:evenVBand="0" w:oddHBand="0" w:evenHBand="0" w:firstRowFirstColumn="0" w:firstRowLastColumn="0" w:lastRowFirstColumn="0" w:lastRowLastColumn="0"/>
            <w:tcW w:w="1309"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3.74</w:t>
            </w:r>
            <w:r w:rsidRPr="00D83068">
              <w:rPr>
                <w:rFonts w:eastAsia="Times New Roman"/>
                <w:sz w:val="20"/>
                <w:szCs w:val="20"/>
              </w:rPr>
              <w:t>]</w:t>
            </w:r>
          </w:p>
        </w:tc>
        <w:tc>
          <w:tcPr>
            <w:tcW w:w="1308" w:type="dxa"/>
          </w:tcPr>
          <w:p w:rsidR="00FD68DC" w:rsidRPr="00D83068" w:rsidRDefault="00D83068"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r w:rsidR="00FD68DC" w:rsidRPr="00D83068">
              <w:rPr>
                <w:rFonts w:eastAsia="Times New Roman"/>
                <w:sz w:val="20"/>
                <w:szCs w:val="20"/>
              </w:rPr>
              <w:t>5.39</w:t>
            </w: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265"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5.31</w:t>
            </w:r>
            <w:r w:rsidRPr="00D83068">
              <w:rPr>
                <w:rFonts w:eastAsia="Times New Roman"/>
                <w:sz w:val="20"/>
                <w:szCs w:val="20"/>
              </w:rPr>
              <w:t>]</w:t>
            </w:r>
          </w:p>
        </w:tc>
        <w:tc>
          <w:tcPr>
            <w:tcW w:w="1218" w:type="dxa"/>
          </w:tcPr>
          <w:p w:rsidR="00FD68DC" w:rsidRPr="00D83068" w:rsidRDefault="00D83068"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r w:rsidR="00FD68DC" w:rsidRPr="00D83068">
              <w:rPr>
                <w:rFonts w:eastAsia="Times New Roman"/>
                <w:sz w:val="20"/>
                <w:szCs w:val="20"/>
              </w:rPr>
              <w:t>5.09</w:t>
            </w: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163"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4.51</w:t>
            </w:r>
            <w:r w:rsidRPr="00D83068">
              <w:rPr>
                <w:rFonts w:eastAsia="Times New Roman"/>
                <w:sz w:val="20"/>
                <w:szCs w:val="20"/>
              </w:rPr>
              <w:t>]</w:t>
            </w:r>
          </w:p>
        </w:tc>
        <w:tc>
          <w:tcPr>
            <w:tcW w:w="1100" w:type="dxa"/>
          </w:tcPr>
          <w:p w:rsidR="00FD68DC" w:rsidRPr="00D83068" w:rsidRDefault="00D83068"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r w:rsidR="00FD68DC" w:rsidRPr="00D83068">
              <w:rPr>
                <w:rFonts w:eastAsia="Times New Roman"/>
                <w:sz w:val="20"/>
                <w:szCs w:val="20"/>
              </w:rPr>
              <w:t>6.04</w:t>
            </w: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187"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4.92</w:t>
            </w:r>
            <w:r w:rsidRPr="00D83068">
              <w:rPr>
                <w:rFonts w:eastAsia="Times New Roman"/>
                <w:sz w:val="20"/>
                <w:szCs w:val="20"/>
              </w:rPr>
              <w:t>]</w:t>
            </w:r>
          </w:p>
        </w:tc>
      </w:tr>
      <w:tr w:rsidR="00D83068" w:rsidRPr="00D83068" w:rsidTr="00D7060E">
        <w:tc>
          <w:tcPr>
            <w:cnfStyle w:val="001000000000" w:firstRow="0" w:lastRow="0" w:firstColumn="1" w:lastColumn="0" w:oddVBand="0" w:evenVBand="0" w:oddHBand="0" w:evenHBand="0" w:firstRowFirstColumn="0" w:firstRowLastColumn="0" w:lastRowFirstColumn="0" w:lastRowLastColumn="0"/>
            <w:tcW w:w="1188" w:type="dxa"/>
          </w:tcPr>
          <w:p w:rsidR="00FD68DC" w:rsidRPr="00D83068" w:rsidRDefault="00FD68DC" w:rsidP="00D83068">
            <w:pPr>
              <w:spacing w:line="360" w:lineRule="auto"/>
              <w:jc w:val="center"/>
              <w:rPr>
                <w:rFonts w:eastAsia="Times New Roman"/>
                <w:sz w:val="20"/>
                <w:szCs w:val="20"/>
              </w:rPr>
            </w:pPr>
            <w:r w:rsidRPr="00D83068">
              <w:rPr>
                <w:rFonts w:eastAsia="Times New Roman"/>
                <w:sz w:val="20"/>
                <w:szCs w:val="20"/>
              </w:rPr>
              <w:t>Black</w:t>
            </w:r>
          </w:p>
        </w:tc>
        <w:tc>
          <w:tcPr>
            <w:cnfStyle w:val="000010000000" w:firstRow="0" w:lastRow="0" w:firstColumn="0" w:lastColumn="0" w:oddVBand="1" w:evenVBand="0" w:oddHBand="0" w:evenHBand="0" w:firstRowFirstColumn="0" w:firstRowLastColumn="0" w:lastRowFirstColumn="0" w:lastRowLastColumn="0"/>
            <w:tcW w:w="1309"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21.70</w:t>
            </w:r>
            <w:r w:rsidRPr="00D83068">
              <w:rPr>
                <w:rFonts w:eastAsia="Times New Roman"/>
                <w:sz w:val="20"/>
                <w:szCs w:val="20"/>
              </w:rPr>
              <w:t>]</w:t>
            </w:r>
          </w:p>
        </w:tc>
        <w:tc>
          <w:tcPr>
            <w:tcW w:w="1308" w:type="dxa"/>
          </w:tcPr>
          <w:p w:rsidR="00FD68DC" w:rsidRPr="00D83068" w:rsidRDefault="00D83068"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r w:rsidR="00FD68DC" w:rsidRPr="00D83068">
              <w:rPr>
                <w:rFonts w:eastAsia="Times New Roman"/>
                <w:sz w:val="20"/>
                <w:szCs w:val="20"/>
              </w:rPr>
              <w:t>15.49</w:t>
            </w: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265"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22.60</w:t>
            </w:r>
            <w:r w:rsidRPr="00D83068">
              <w:rPr>
                <w:rFonts w:eastAsia="Times New Roman"/>
                <w:sz w:val="20"/>
                <w:szCs w:val="20"/>
              </w:rPr>
              <w:t>]</w:t>
            </w:r>
          </w:p>
        </w:tc>
        <w:tc>
          <w:tcPr>
            <w:tcW w:w="1218" w:type="dxa"/>
          </w:tcPr>
          <w:p w:rsidR="00FD68DC" w:rsidRPr="00D83068" w:rsidRDefault="00D83068"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r w:rsidR="00FD68DC" w:rsidRPr="00D83068">
              <w:rPr>
                <w:rFonts w:eastAsia="Times New Roman"/>
                <w:sz w:val="20"/>
                <w:szCs w:val="20"/>
              </w:rPr>
              <w:t>19.48</w:t>
            </w: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163"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17.74</w:t>
            </w:r>
            <w:r w:rsidRPr="00D83068">
              <w:rPr>
                <w:rFonts w:eastAsia="Times New Roman"/>
                <w:sz w:val="20"/>
                <w:szCs w:val="20"/>
              </w:rPr>
              <w:t>]</w:t>
            </w:r>
          </w:p>
        </w:tc>
        <w:tc>
          <w:tcPr>
            <w:tcW w:w="1100" w:type="dxa"/>
          </w:tcPr>
          <w:p w:rsidR="00FD68DC" w:rsidRPr="00D83068" w:rsidRDefault="00D83068"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r w:rsidR="00FD68DC" w:rsidRPr="00D83068">
              <w:rPr>
                <w:rFonts w:eastAsia="Times New Roman"/>
                <w:sz w:val="20"/>
                <w:szCs w:val="20"/>
              </w:rPr>
              <w:t>19.57</w:t>
            </w: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187"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21.52</w:t>
            </w:r>
            <w:r w:rsidRPr="00D83068">
              <w:rPr>
                <w:rFonts w:eastAsia="Times New Roman"/>
                <w:sz w:val="20"/>
                <w:szCs w:val="20"/>
              </w:rPr>
              <w:t>]</w:t>
            </w:r>
          </w:p>
        </w:tc>
      </w:tr>
      <w:tr w:rsidR="00D83068" w:rsidRPr="00D83068" w:rsidTr="00D7060E">
        <w:tc>
          <w:tcPr>
            <w:cnfStyle w:val="001000000000" w:firstRow="0" w:lastRow="0" w:firstColumn="1" w:lastColumn="0" w:oddVBand="0" w:evenVBand="0" w:oddHBand="0" w:evenHBand="0" w:firstRowFirstColumn="0" w:firstRowLastColumn="0" w:lastRowFirstColumn="0" w:lastRowLastColumn="0"/>
            <w:tcW w:w="1188" w:type="dxa"/>
          </w:tcPr>
          <w:p w:rsidR="00FD68DC" w:rsidRPr="00D83068" w:rsidRDefault="00FD68DC" w:rsidP="00D83068">
            <w:pPr>
              <w:spacing w:line="360" w:lineRule="auto"/>
              <w:jc w:val="center"/>
              <w:rPr>
                <w:rFonts w:eastAsia="Times New Roman"/>
                <w:sz w:val="20"/>
                <w:szCs w:val="20"/>
              </w:rPr>
            </w:pPr>
            <w:r w:rsidRPr="00D83068">
              <w:rPr>
                <w:rFonts w:eastAsia="Times New Roman"/>
                <w:sz w:val="20"/>
                <w:szCs w:val="20"/>
              </w:rPr>
              <w:t>Hispanic</w:t>
            </w:r>
          </w:p>
        </w:tc>
        <w:tc>
          <w:tcPr>
            <w:cnfStyle w:val="000010000000" w:firstRow="0" w:lastRow="0" w:firstColumn="0" w:lastColumn="0" w:oddVBand="1" w:evenVBand="0" w:oddHBand="0" w:evenHBand="0" w:firstRowFirstColumn="0" w:firstRowLastColumn="0" w:lastRowFirstColumn="0" w:lastRowLastColumn="0"/>
            <w:tcW w:w="1309"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21.26</w:t>
            </w:r>
            <w:r w:rsidRPr="00D83068">
              <w:rPr>
                <w:rFonts w:eastAsia="Times New Roman"/>
                <w:sz w:val="20"/>
                <w:szCs w:val="20"/>
              </w:rPr>
              <w:t>]</w:t>
            </w:r>
          </w:p>
        </w:tc>
        <w:tc>
          <w:tcPr>
            <w:tcW w:w="1308" w:type="dxa"/>
          </w:tcPr>
          <w:p w:rsidR="00FD68DC" w:rsidRPr="00D83068" w:rsidRDefault="00D83068"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r w:rsidR="00FD68DC" w:rsidRPr="00D83068">
              <w:rPr>
                <w:rFonts w:eastAsia="Times New Roman"/>
                <w:sz w:val="20"/>
                <w:szCs w:val="20"/>
              </w:rPr>
              <w:t>15.78</w:t>
            </w: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265"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10.13</w:t>
            </w:r>
            <w:r w:rsidRPr="00D83068">
              <w:rPr>
                <w:rFonts w:eastAsia="Times New Roman"/>
                <w:sz w:val="20"/>
                <w:szCs w:val="20"/>
              </w:rPr>
              <w:t>]</w:t>
            </w:r>
          </w:p>
        </w:tc>
        <w:tc>
          <w:tcPr>
            <w:tcW w:w="1218" w:type="dxa"/>
          </w:tcPr>
          <w:p w:rsidR="00FD68DC" w:rsidRPr="00D83068" w:rsidRDefault="00D83068"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r w:rsidR="00FD68DC" w:rsidRPr="00D83068">
              <w:rPr>
                <w:rFonts w:eastAsia="Times New Roman"/>
                <w:sz w:val="20"/>
                <w:szCs w:val="20"/>
              </w:rPr>
              <w:t>12.31</w:t>
            </w: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163"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12.36</w:t>
            </w:r>
            <w:r w:rsidRPr="00D83068">
              <w:rPr>
                <w:rFonts w:eastAsia="Times New Roman"/>
                <w:sz w:val="20"/>
                <w:szCs w:val="20"/>
              </w:rPr>
              <w:t>]</w:t>
            </w:r>
          </w:p>
        </w:tc>
        <w:tc>
          <w:tcPr>
            <w:tcW w:w="1100" w:type="dxa"/>
          </w:tcPr>
          <w:p w:rsidR="00FD68DC" w:rsidRPr="00D83068" w:rsidRDefault="00D83068"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r w:rsidR="00FD68DC" w:rsidRPr="00D83068">
              <w:rPr>
                <w:rFonts w:eastAsia="Times New Roman"/>
                <w:sz w:val="20"/>
                <w:szCs w:val="20"/>
              </w:rPr>
              <w:t>12.83</w:t>
            </w: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187"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11.02</w:t>
            </w:r>
            <w:r w:rsidRPr="00D83068">
              <w:rPr>
                <w:rFonts w:eastAsia="Times New Roman"/>
                <w:sz w:val="20"/>
                <w:szCs w:val="20"/>
              </w:rPr>
              <w:t>]</w:t>
            </w:r>
          </w:p>
        </w:tc>
      </w:tr>
      <w:tr w:rsidR="00D83068" w:rsidRPr="00D83068" w:rsidTr="00D7060E">
        <w:tc>
          <w:tcPr>
            <w:cnfStyle w:val="001000000000" w:firstRow="0" w:lastRow="0" w:firstColumn="1" w:lastColumn="0" w:oddVBand="0" w:evenVBand="0" w:oddHBand="0" w:evenHBand="0" w:firstRowFirstColumn="0" w:firstRowLastColumn="0" w:lastRowFirstColumn="0" w:lastRowLastColumn="0"/>
            <w:tcW w:w="1188" w:type="dxa"/>
          </w:tcPr>
          <w:p w:rsidR="00FD68DC" w:rsidRPr="00D83068" w:rsidRDefault="00FD68DC" w:rsidP="00D83068">
            <w:pPr>
              <w:spacing w:line="360" w:lineRule="auto"/>
              <w:jc w:val="center"/>
              <w:rPr>
                <w:rFonts w:eastAsia="Times New Roman"/>
                <w:sz w:val="20"/>
                <w:szCs w:val="20"/>
              </w:rPr>
            </w:pPr>
            <w:r w:rsidRPr="00D83068">
              <w:rPr>
                <w:rFonts w:eastAsia="Times New Roman"/>
                <w:sz w:val="20"/>
                <w:szCs w:val="20"/>
              </w:rPr>
              <w:t>Other</w:t>
            </w:r>
          </w:p>
        </w:tc>
        <w:tc>
          <w:tcPr>
            <w:cnfStyle w:val="000010000000" w:firstRow="0" w:lastRow="0" w:firstColumn="0" w:lastColumn="0" w:oddVBand="1" w:evenVBand="0" w:oddHBand="0" w:evenHBand="0" w:firstRowFirstColumn="0" w:firstRowLastColumn="0" w:lastRowFirstColumn="0" w:lastRowLastColumn="0"/>
            <w:tcW w:w="1309"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0.69</w:t>
            </w:r>
            <w:r w:rsidRPr="00D83068">
              <w:rPr>
                <w:rFonts w:eastAsia="Times New Roman"/>
                <w:sz w:val="20"/>
                <w:szCs w:val="20"/>
              </w:rPr>
              <w:t>]</w:t>
            </w:r>
          </w:p>
        </w:tc>
        <w:tc>
          <w:tcPr>
            <w:tcW w:w="1308" w:type="dxa"/>
          </w:tcPr>
          <w:p w:rsidR="00FD68DC" w:rsidRPr="00D83068" w:rsidRDefault="00D83068"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r w:rsidR="00FD68DC" w:rsidRPr="00D83068">
              <w:rPr>
                <w:rFonts w:eastAsia="Times New Roman"/>
                <w:sz w:val="20"/>
                <w:szCs w:val="20"/>
              </w:rPr>
              <w:t>0.73</w:t>
            </w: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265"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3.50</w:t>
            </w:r>
            <w:r w:rsidRPr="00D83068">
              <w:rPr>
                <w:rFonts w:eastAsia="Times New Roman"/>
                <w:sz w:val="20"/>
                <w:szCs w:val="20"/>
              </w:rPr>
              <w:t>]</w:t>
            </w:r>
          </w:p>
        </w:tc>
        <w:tc>
          <w:tcPr>
            <w:tcW w:w="1218" w:type="dxa"/>
          </w:tcPr>
          <w:p w:rsidR="00FD68DC" w:rsidRPr="00D83068" w:rsidRDefault="00D83068"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r w:rsidR="00FD68DC" w:rsidRPr="00D83068">
              <w:rPr>
                <w:rFonts w:eastAsia="Times New Roman"/>
                <w:sz w:val="20"/>
                <w:szCs w:val="20"/>
              </w:rPr>
              <w:t>4.17</w:t>
            </w: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163"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4.08</w:t>
            </w:r>
            <w:r w:rsidRPr="00D83068">
              <w:rPr>
                <w:rFonts w:eastAsia="Times New Roman"/>
                <w:sz w:val="20"/>
                <w:szCs w:val="20"/>
              </w:rPr>
              <w:t>]</w:t>
            </w:r>
          </w:p>
        </w:tc>
        <w:tc>
          <w:tcPr>
            <w:tcW w:w="1100" w:type="dxa"/>
          </w:tcPr>
          <w:p w:rsidR="00FD68DC" w:rsidRPr="00D83068" w:rsidRDefault="00D83068"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r w:rsidR="00FD68DC" w:rsidRPr="00D83068">
              <w:rPr>
                <w:rFonts w:eastAsia="Times New Roman"/>
                <w:sz w:val="20"/>
                <w:szCs w:val="20"/>
              </w:rPr>
              <w:t>5.01</w:t>
            </w: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187"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3.67</w:t>
            </w:r>
            <w:r w:rsidRPr="00D83068">
              <w:rPr>
                <w:rFonts w:eastAsia="Times New Roman"/>
                <w:sz w:val="20"/>
                <w:szCs w:val="20"/>
              </w:rPr>
              <w:t>]</w:t>
            </w:r>
          </w:p>
        </w:tc>
      </w:tr>
      <w:tr w:rsidR="00D83068" w:rsidRPr="00D83068" w:rsidTr="00D7060E">
        <w:tc>
          <w:tcPr>
            <w:cnfStyle w:val="001000000000" w:firstRow="0" w:lastRow="0" w:firstColumn="1" w:lastColumn="0" w:oddVBand="0" w:evenVBand="0" w:oddHBand="0" w:evenHBand="0" w:firstRowFirstColumn="0" w:firstRowLastColumn="0" w:lastRowFirstColumn="0" w:lastRowLastColumn="0"/>
            <w:tcW w:w="1188" w:type="dxa"/>
          </w:tcPr>
          <w:p w:rsidR="00FD68DC" w:rsidRPr="00D83068" w:rsidRDefault="00FD68DC" w:rsidP="00D83068">
            <w:pPr>
              <w:spacing w:line="360" w:lineRule="auto"/>
              <w:jc w:val="center"/>
              <w:rPr>
                <w:rFonts w:eastAsia="Times New Roman"/>
                <w:sz w:val="20"/>
                <w:szCs w:val="20"/>
              </w:rPr>
            </w:pPr>
            <w:r w:rsidRPr="00D83068">
              <w:rPr>
                <w:rFonts w:eastAsia="Times New Roman"/>
                <w:sz w:val="20"/>
                <w:szCs w:val="20"/>
              </w:rPr>
              <w:t>White</w:t>
            </w:r>
          </w:p>
        </w:tc>
        <w:tc>
          <w:tcPr>
            <w:cnfStyle w:val="000010000000" w:firstRow="0" w:lastRow="0" w:firstColumn="0" w:lastColumn="0" w:oddVBand="1" w:evenVBand="0" w:oddHBand="0" w:evenHBand="0" w:firstRowFirstColumn="0" w:firstRowLastColumn="0" w:lastRowFirstColumn="0" w:lastRowLastColumn="0"/>
            <w:tcW w:w="1309"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52.60</w:t>
            </w:r>
            <w:r w:rsidRPr="00D83068">
              <w:rPr>
                <w:rFonts w:eastAsia="Times New Roman"/>
                <w:sz w:val="20"/>
                <w:szCs w:val="20"/>
              </w:rPr>
              <w:t>]</w:t>
            </w:r>
          </w:p>
        </w:tc>
        <w:tc>
          <w:tcPr>
            <w:tcW w:w="1308" w:type="dxa"/>
          </w:tcPr>
          <w:p w:rsidR="00FD68DC" w:rsidRPr="00D83068" w:rsidRDefault="00D83068"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r w:rsidR="00FD68DC" w:rsidRPr="00D83068">
              <w:rPr>
                <w:rFonts w:eastAsia="Times New Roman"/>
                <w:sz w:val="20"/>
                <w:szCs w:val="20"/>
              </w:rPr>
              <w:t>62.61</w:t>
            </w: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265"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58.46</w:t>
            </w:r>
            <w:r w:rsidRPr="00D83068">
              <w:rPr>
                <w:rFonts w:eastAsia="Times New Roman"/>
                <w:sz w:val="20"/>
                <w:szCs w:val="20"/>
              </w:rPr>
              <w:t>]</w:t>
            </w:r>
          </w:p>
        </w:tc>
        <w:tc>
          <w:tcPr>
            <w:tcW w:w="1218" w:type="dxa"/>
          </w:tcPr>
          <w:p w:rsidR="00FD68DC" w:rsidRPr="00D83068" w:rsidRDefault="00D83068"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r w:rsidR="00FD68DC" w:rsidRPr="00D83068">
              <w:rPr>
                <w:rFonts w:eastAsia="Times New Roman"/>
                <w:sz w:val="20"/>
                <w:szCs w:val="20"/>
              </w:rPr>
              <w:t>58.95</w:t>
            </w: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163"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61.31</w:t>
            </w:r>
            <w:r w:rsidRPr="00D83068">
              <w:rPr>
                <w:rFonts w:eastAsia="Times New Roman"/>
                <w:sz w:val="20"/>
                <w:szCs w:val="20"/>
              </w:rPr>
              <w:t>]</w:t>
            </w:r>
          </w:p>
        </w:tc>
        <w:tc>
          <w:tcPr>
            <w:tcW w:w="1100" w:type="dxa"/>
          </w:tcPr>
          <w:p w:rsidR="00FD68DC" w:rsidRPr="00D83068" w:rsidRDefault="00D83068"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D83068">
              <w:rPr>
                <w:rFonts w:eastAsia="Times New Roman"/>
                <w:sz w:val="20"/>
                <w:szCs w:val="20"/>
              </w:rPr>
              <w:t>[</w:t>
            </w:r>
            <w:r w:rsidR="00FD68DC" w:rsidRPr="00D83068">
              <w:rPr>
                <w:rFonts w:eastAsia="Times New Roman"/>
                <w:sz w:val="20"/>
                <w:szCs w:val="20"/>
              </w:rPr>
              <w:t>56.56</w:t>
            </w:r>
            <w:r w:rsidRPr="00D83068">
              <w:rPr>
                <w:rFonts w:eastAsia="Times New Roman"/>
                <w:sz w:val="20"/>
                <w:szCs w:val="20"/>
              </w:rPr>
              <w:t>]</w:t>
            </w:r>
          </w:p>
        </w:tc>
        <w:tc>
          <w:tcPr>
            <w:cnfStyle w:val="000010000000" w:firstRow="0" w:lastRow="0" w:firstColumn="0" w:lastColumn="0" w:oddVBand="1" w:evenVBand="0" w:oddHBand="0" w:evenHBand="0" w:firstRowFirstColumn="0" w:firstRowLastColumn="0" w:lastRowFirstColumn="0" w:lastRowLastColumn="0"/>
            <w:tcW w:w="1187" w:type="dxa"/>
          </w:tcPr>
          <w:p w:rsidR="00FD68DC" w:rsidRPr="00D83068" w:rsidRDefault="00D83068" w:rsidP="00D83068">
            <w:pPr>
              <w:spacing w:line="360" w:lineRule="auto"/>
              <w:jc w:val="center"/>
              <w:rPr>
                <w:rFonts w:eastAsia="Times New Roman"/>
                <w:sz w:val="20"/>
                <w:szCs w:val="20"/>
              </w:rPr>
            </w:pPr>
            <w:r w:rsidRPr="00D83068">
              <w:rPr>
                <w:rFonts w:eastAsia="Times New Roman"/>
                <w:sz w:val="20"/>
                <w:szCs w:val="20"/>
              </w:rPr>
              <w:t>[</w:t>
            </w:r>
            <w:r w:rsidR="00FD68DC" w:rsidRPr="00D83068">
              <w:rPr>
                <w:rFonts w:eastAsia="Times New Roman"/>
                <w:sz w:val="20"/>
                <w:szCs w:val="20"/>
              </w:rPr>
              <w:t>58.87</w:t>
            </w:r>
            <w:r w:rsidRPr="00D83068">
              <w:rPr>
                <w:rFonts w:eastAsia="Times New Roman"/>
                <w:sz w:val="20"/>
                <w:szCs w:val="20"/>
              </w:rPr>
              <w:t>]</w:t>
            </w:r>
          </w:p>
        </w:tc>
      </w:tr>
      <w:tr w:rsidR="00B01192" w:rsidRPr="00D83068" w:rsidTr="00D7060E">
        <w:tc>
          <w:tcPr>
            <w:cnfStyle w:val="001000000000" w:firstRow="0" w:lastRow="0" w:firstColumn="1" w:lastColumn="0" w:oddVBand="0" w:evenVBand="0" w:oddHBand="0" w:evenHBand="0" w:firstRowFirstColumn="0" w:firstRowLastColumn="0" w:lastRowFirstColumn="0" w:lastRowLastColumn="0"/>
            <w:tcW w:w="1188" w:type="dxa"/>
          </w:tcPr>
          <w:p w:rsidR="00B01192" w:rsidRPr="00D83068" w:rsidRDefault="00B01192" w:rsidP="00D83068">
            <w:pPr>
              <w:spacing w:line="360" w:lineRule="auto"/>
              <w:jc w:val="center"/>
              <w:rPr>
                <w:rFonts w:eastAsia="Times New Roman"/>
                <w:sz w:val="20"/>
                <w:szCs w:val="20"/>
              </w:rPr>
            </w:pPr>
            <w:r>
              <w:rPr>
                <w:rFonts w:eastAsia="Times New Roman"/>
                <w:sz w:val="20"/>
                <w:szCs w:val="20"/>
              </w:rPr>
              <w:t>ENDS 30d</w:t>
            </w:r>
          </w:p>
        </w:tc>
        <w:tc>
          <w:tcPr>
            <w:cnfStyle w:val="000010000000" w:firstRow="0" w:lastRow="0" w:firstColumn="0" w:lastColumn="0" w:oddVBand="1" w:evenVBand="0" w:oddHBand="0" w:evenHBand="0" w:firstRowFirstColumn="0" w:firstRowLastColumn="0" w:lastRowFirstColumn="0" w:lastRowLastColumn="0"/>
            <w:tcW w:w="1309" w:type="dxa"/>
          </w:tcPr>
          <w:p w:rsidR="00B01192" w:rsidRPr="00D83068" w:rsidRDefault="00B01192" w:rsidP="00D83068">
            <w:pPr>
              <w:spacing w:line="360" w:lineRule="auto"/>
              <w:jc w:val="center"/>
              <w:rPr>
                <w:rFonts w:eastAsia="Times New Roman"/>
                <w:sz w:val="20"/>
                <w:szCs w:val="20"/>
              </w:rPr>
            </w:pPr>
            <w:r>
              <w:rPr>
                <w:rFonts w:eastAsia="Times New Roman"/>
                <w:sz w:val="20"/>
                <w:szCs w:val="20"/>
              </w:rPr>
              <w:t>[.95]</w:t>
            </w:r>
          </w:p>
        </w:tc>
        <w:tc>
          <w:tcPr>
            <w:tcW w:w="1308" w:type="dxa"/>
          </w:tcPr>
          <w:p w:rsidR="00B01192" w:rsidRPr="00D83068" w:rsidRDefault="00B01192"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[1.80]</w:t>
            </w:r>
          </w:p>
        </w:tc>
        <w:tc>
          <w:tcPr>
            <w:cnfStyle w:val="000010000000" w:firstRow="0" w:lastRow="0" w:firstColumn="0" w:lastColumn="0" w:oddVBand="1" w:evenVBand="0" w:oddHBand="0" w:evenHBand="0" w:firstRowFirstColumn="0" w:firstRowLastColumn="0" w:lastRowFirstColumn="0" w:lastRowLastColumn="0"/>
            <w:tcW w:w="1265" w:type="dxa"/>
          </w:tcPr>
          <w:p w:rsidR="00B01192" w:rsidRPr="00D83068" w:rsidRDefault="00B01192" w:rsidP="00D83068">
            <w:pPr>
              <w:spacing w:line="360" w:lineRule="auto"/>
              <w:jc w:val="center"/>
              <w:rPr>
                <w:rFonts w:eastAsia="Times New Roman"/>
                <w:sz w:val="20"/>
                <w:szCs w:val="20"/>
              </w:rPr>
            </w:pPr>
            <w:r>
              <w:rPr>
                <w:rFonts w:eastAsia="Times New Roman"/>
                <w:sz w:val="20"/>
                <w:szCs w:val="20"/>
              </w:rPr>
              <w:t>[2.46]</w:t>
            </w:r>
          </w:p>
        </w:tc>
        <w:tc>
          <w:tcPr>
            <w:tcW w:w="1218" w:type="dxa"/>
          </w:tcPr>
          <w:p w:rsidR="00B01192" w:rsidRPr="00D83068" w:rsidRDefault="00B01192"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[10.07]</w:t>
            </w:r>
          </w:p>
        </w:tc>
        <w:tc>
          <w:tcPr>
            <w:cnfStyle w:val="000010000000" w:firstRow="0" w:lastRow="0" w:firstColumn="0" w:lastColumn="0" w:oddVBand="1" w:evenVBand="0" w:oddHBand="0" w:evenHBand="0" w:firstRowFirstColumn="0" w:firstRowLastColumn="0" w:lastRowFirstColumn="0" w:lastRowLastColumn="0"/>
            <w:tcW w:w="1163" w:type="dxa"/>
          </w:tcPr>
          <w:p w:rsidR="00B01192" w:rsidRPr="00D83068" w:rsidRDefault="00B01192" w:rsidP="00D83068">
            <w:pPr>
              <w:spacing w:line="360" w:lineRule="auto"/>
              <w:jc w:val="center"/>
              <w:rPr>
                <w:rFonts w:eastAsia="Times New Roman"/>
                <w:sz w:val="20"/>
                <w:szCs w:val="20"/>
              </w:rPr>
            </w:pPr>
            <w:r>
              <w:rPr>
                <w:rFonts w:eastAsia="Times New Roman"/>
                <w:sz w:val="20"/>
                <w:szCs w:val="20"/>
              </w:rPr>
              <w:t>[11.47]</w:t>
            </w:r>
          </w:p>
        </w:tc>
        <w:tc>
          <w:tcPr>
            <w:tcW w:w="1100" w:type="dxa"/>
          </w:tcPr>
          <w:p w:rsidR="00B01192" w:rsidRPr="00D83068" w:rsidRDefault="00B01192"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[8.41]</w:t>
            </w:r>
          </w:p>
        </w:tc>
        <w:tc>
          <w:tcPr>
            <w:cnfStyle w:val="000010000000" w:firstRow="0" w:lastRow="0" w:firstColumn="0" w:lastColumn="0" w:oddVBand="1" w:evenVBand="0" w:oddHBand="0" w:evenHBand="0" w:firstRowFirstColumn="0" w:firstRowLastColumn="0" w:lastRowFirstColumn="0" w:lastRowLastColumn="0"/>
            <w:tcW w:w="1187" w:type="dxa"/>
          </w:tcPr>
          <w:p w:rsidR="00B01192" w:rsidRPr="00D83068" w:rsidRDefault="00B01192" w:rsidP="00D83068">
            <w:pPr>
              <w:spacing w:line="360" w:lineRule="auto"/>
              <w:jc w:val="center"/>
              <w:rPr>
                <w:rFonts w:eastAsia="Times New Roman"/>
                <w:sz w:val="20"/>
                <w:szCs w:val="20"/>
              </w:rPr>
            </w:pPr>
            <w:r>
              <w:rPr>
                <w:rFonts w:eastAsia="Times New Roman"/>
                <w:sz w:val="20"/>
                <w:szCs w:val="20"/>
              </w:rPr>
              <w:t>[8.38]</w:t>
            </w:r>
          </w:p>
        </w:tc>
      </w:tr>
      <w:tr w:rsidR="00B01192" w:rsidRPr="00D83068" w:rsidTr="00D7060E">
        <w:tc>
          <w:tcPr>
            <w:cnfStyle w:val="001000000000" w:firstRow="0" w:lastRow="0" w:firstColumn="1" w:lastColumn="0" w:oddVBand="0" w:evenVBand="0" w:oddHBand="0" w:evenHBand="0" w:firstRowFirstColumn="0" w:firstRowLastColumn="0" w:lastRowFirstColumn="0" w:lastRowLastColumn="0"/>
            <w:tcW w:w="1188" w:type="dxa"/>
          </w:tcPr>
          <w:p w:rsidR="00B01192" w:rsidRDefault="00B01192" w:rsidP="00D83068">
            <w:pPr>
              <w:spacing w:line="360" w:lineRule="auto"/>
              <w:jc w:val="center"/>
              <w:rPr>
                <w:rFonts w:eastAsia="Times New Roman"/>
                <w:sz w:val="20"/>
                <w:szCs w:val="20"/>
              </w:rPr>
            </w:pPr>
            <w:r>
              <w:rPr>
                <w:rFonts w:eastAsia="Times New Roman"/>
                <w:sz w:val="20"/>
                <w:szCs w:val="20"/>
              </w:rPr>
              <w:t>Smoke 30d</w:t>
            </w:r>
          </w:p>
        </w:tc>
        <w:tc>
          <w:tcPr>
            <w:cnfStyle w:val="000010000000" w:firstRow="0" w:lastRow="0" w:firstColumn="0" w:lastColumn="0" w:oddVBand="1" w:evenVBand="0" w:oddHBand="0" w:evenHBand="0" w:firstRowFirstColumn="0" w:firstRowLastColumn="0" w:lastRowFirstColumn="0" w:lastRowLastColumn="0"/>
            <w:tcW w:w="1309" w:type="dxa"/>
          </w:tcPr>
          <w:p w:rsidR="00B01192" w:rsidRDefault="00B01192" w:rsidP="00D83068">
            <w:pPr>
              <w:spacing w:line="360" w:lineRule="auto"/>
              <w:jc w:val="center"/>
              <w:rPr>
                <w:rFonts w:eastAsia="Times New Roman"/>
                <w:sz w:val="20"/>
                <w:szCs w:val="20"/>
              </w:rPr>
            </w:pPr>
            <w:r>
              <w:rPr>
                <w:rFonts w:eastAsia="Times New Roman"/>
                <w:sz w:val="20"/>
                <w:szCs w:val="20"/>
              </w:rPr>
              <w:t>[12.06]</w:t>
            </w:r>
          </w:p>
        </w:tc>
        <w:tc>
          <w:tcPr>
            <w:tcW w:w="1308" w:type="dxa"/>
          </w:tcPr>
          <w:p w:rsidR="00B01192" w:rsidRDefault="00B01192"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[9.74]</w:t>
            </w:r>
          </w:p>
        </w:tc>
        <w:tc>
          <w:tcPr>
            <w:cnfStyle w:val="000010000000" w:firstRow="0" w:lastRow="0" w:firstColumn="0" w:lastColumn="0" w:oddVBand="1" w:evenVBand="0" w:oddHBand="0" w:evenHBand="0" w:firstRowFirstColumn="0" w:firstRowLastColumn="0" w:lastRowFirstColumn="0" w:lastRowLastColumn="0"/>
            <w:tcW w:w="1265" w:type="dxa"/>
          </w:tcPr>
          <w:p w:rsidR="00B01192" w:rsidRDefault="00B01192" w:rsidP="00D83068">
            <w:pPr>
              <w:spacing w:line="360" w:lineRule="auto"/>
              <w:jc w:val="center"/>
              <w:rPr>
                <w:rFonts w:eastAsia="Times New Roman"/>
                <w:sz w:val="20"/>
                <w:szCs w:val="20"/>
              </w:rPr>
            </w:pPr>
            <w:r>
              <w:rPr>
                <w:rFonts w:eastAsia="Times New Roman"/>
                <w:sz w:val="20"/>
                <w:szCs w:val="20"/>
              </w:rPr>
              <w:t>[9.00]</w:t>
            </w:r>
          </w:p>
        </w:tc>
        <w:tc>
          <w:tcPr>
            <w:tcW w:w="1218" w:type="dxa"/>
          </w:tcPr>
          <w:p w:rsidR="00B01192" w:rsidRDefault="00B01192"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[7.34]</w:t>
            </w:r>
          </w:p>
        </w:tc>
        <w:tc>
          <w:tcPr>
            <w:cnfStyle w:val="000010000000" w:firstRow="0" w:lastRow="0" w:firstColumn="0" w:lastColumn="0" w:oddVBand="1" w:evenVBand="0" w:oddHBand="0" w:evenHBand="0" w:firstRowFirstColumn="0" w:firstRowLastColumn="0" w:lastRowFirstColumn="0" w:lastRowLastColumn="0"/>
            <w:tcW w:w="1163" w:type="dxa"/>
          </w:tcPr>
          <w:p w:rsidR="00B01192" w:rsidRDefault="00B01192" w:rsidP="00D83068">
            <w:pPr>
              <w:spacing w:line="360" w:lineRule="auto"/>
              <w:jc w:val="center"/>
              <w:rPr>
                <w:rFonts w:eastAsia="Times New Roman"/>
                <w:sz w:val="20"/>
                <w:szCs w:val="20"/>
              </w:rPr>
            </w:pPr>
            <w:r>
              <w:rPr>
                <w:rFonts w:eastAsia="Times New Roman"/>
                <w:sz w:val="20"/>
                <w:szCs w:val="20"/>
              </w:rPr>
              <w:t>[7.54]</w:t>
            </w:r>
          </w:p>
        </w:tc>
        <w:tc>
          <w:tcPr>
            <w:tcW w:w="1100" w:type="dxa"/>
          </w:tcPr>
          <w:p w:rsidR="00B01192" w:rsidRDefault="00B01192"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[5.94]</w:t>
            </w:r>
          </w:p>
        </w:tc>
        <w:tc>
          <w:tcPr>
            <w:cnfStyle w:val="000010000000" w:firstRow="0" w:lastRow="0" w:firstColumn="0" w:lastColumn="0" w:oddVBand="1" w:evenVBand="0" w:oddHBand="0" w:evenHBand="0" w:firstRowFirstColumn="0" w:firstRowLastColumn="0" w:lastRowFirstColumn="0" w:lastRowLastColumn="0"/>
            <w:tcW w:w="1187" w:type="dxa"/>
          </w:tcPr>
          <w:p w:rsidR="00B01192" w:rsidRDefault="00B01192" w:rsidP="00D83068">
            <w:pPr>
              <w:spacing w:line="360" w:lineRule="auto"/>
              <w:jc w:val="center"/>
              <w:rPr>
                <w:rFonts w:eastAsia="Times New Roman"/>
                <w:sz w:val="20"/>
                <w:szCs w:val="20"/>
              </w:rPr>
            </w:pPr>
            <w:r>
              <w:rPr>
                <w:rFonts w:eastAsia="Times New Roman"/>
                <w:sz w:val="20"/>
                <w:szCs w:val="20"/>
              </w:rPr>
              <w:t>[6.69]</w:t>
            </w:r>
          </w:p>
        </w:tc>
      </w:tr>
      <w:tr w:rsidR="00B01192" w:rsidRPr="00D83068" w:rsidTr="00D7060E">
        <w:tc>
          <w:tcPr>
            <w:cnfStyle w:val="001000000000" w:firstRow="0" w:lastRow="0" w:firstColumn="1" w:lastColumn="0" w:oddVBand="0" w:evenVBand="0" w:oddHBand="0" w:evenHBand="0" w:firstRowFirstColumn="0" w:firstRowLastColumn="0" w:lastRowFirstColumn="0" w:lastRowLastColumn="0"/>
            <w:tcW w:w="1188" w:type="dxa"/>
          </w:tcPr>
          <w:p w:rsidR="00B01192" w:rsidRDefault="00B01192" w:rsidP="00D83068">
            <w:pPr>
              <w:spacing w:line="360" w:lineRule="auto"/>
              <w:jc w:val="center"/>
              <w:rPr>
                <w:rFonts w:eastAsia="Times New Roman"/>
                <w:sz w:val="20"/>
                <w:szCs w:val="20"/>
              </w:rPr>
            </w:pPr>
          </w:p>
        </w:tc>
        <w:tc>
          <w:tcPr>
            <w:cnfStyle w:val="000010000000" w:firstRow="0" w:lastRow="0" w:firstColumn="0" w:lastColumn="0" w:oddVBand="1" w:evenVBand="0" w:oddHBand="0" w:evenHBand="0" w:firstRowFirstColumn="0" w:firstRowLastColumn="0" w:lastRowFirstColumn="0" w:lastRowLastColumn="0"/>
            <w:tcW w:w="1309" w:type="dxa"/>
          </w:tcPr>
          <w:p w:rsidR="00B01192" w:rsidRDefault="00B01192" w:rsidP="00D83068">
            <w:pPr>
              <w:spacing w:line="360" w:lineRule="auto"/>
              <w:jc w:val="center"/>
              <w:rPr>
                <w:rFonts w:eastAsia="Times New Roman"/>
                <w:sz w:val="20"/>
                <w:szCs w:val="20"/>
              </w:rPr>
            </w:pPr>
            <w:r>
              <w:rPr>
                <w:rFonts w:eastAsia="Times New Roman"/>
                <w:sz w:val="20"/>
                <w:szCs w:val="20"/>
              </w:rPr>
              <w:t>Mean (SE)</w:t>
            </w:r>
          </w:p>
        </w:tc>
        <w:tc>
          <w:tcPr>
            <w:tcW w:w="1308" w:type="dxa"/>
          </w:tcPr>
          <w:p w:rsidR="00B01192" w:rsidRDefault="00B01192"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Mean (SE</w:t>
            </w:r>
          </w:p>
        </w:tc>
        <w:tc>
          <w:tcPr>
            <w:cnfStyle w:val="000010000000" w:firstRow="0" w:lastRow="0" w:firstColumn="0" w:lastColumn="0" w:oddVBand="1" w:evenVBand="0" w:oddHBand="0" w:evenHBand="0" w:firstRowFirstColumn="0" w:firstRowLastColumn="0" w:lastRowFirstColumn="0" w:lastRowLastColumn="0"/>
            <w:tcW w:w="1265" w:type="dxa"/>
          </w:tcPr>
          <w:p w:rsidR="00B01192" w:rsidRDefault="00B01192" w:rsidP="00D83068">
            <w:pPr>
              <w:spacing w:line="360" w:lineRule="auto"/>
              <w:jc w:val="center"/>
              <w:rPr>
                <w:rFonts w:eastAsia="Times New Roman"/>
                <w:sz w:val="20"/>
                <w:szCs w:val="20"/>
              </w:rPr>
            </w:pPr>
            <w:r>
              <w:rPr>
                <w:rFonts w:eastAsia="Times New Roman"/>
                <w:sz w:val="20"/>
                <w:szCs w:val="20"/>
              </w:rPr>
              <w:t>Mean (SE)</w:t>
            </w:r>
          </w:p>
        </w:tc>
        <w:tc>
          <w:tcPr>
            <w:tcW w:w="1218" w:type="dxa"/>
          </w:tcPr>
          <w:p w:rsidR="00B01192" w:rsidRDefault="00B01192"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Mean (SE)</w:t>
            </w:r>
          </w:p>
        </w:tc>
        <w:tc>
          <w:tcPr>
            <w:cnfStyle w:val="000010000000" w:firstRow="0" w:lastRow="0" w:firstColumn="0" w:lastColumn="0" w:oddVBand="1" w:evenVBand="0" w:oddHBand="0" w:evenHBand="0" w:firstRowFirstColumn="0" w:firstRowLastColumn="0" w:lastRowFirstColumn="0" w:lastRowLastColumn="0"/>
            <w:tcW w:w="1163" w:type="dxa"/>
          </w:tcPr>
          <w:p w:rsidR="00B01192" w:rsidRDefault="00B01192" w:rsidP="00D83068">
            <w:pPr>
              <w:spacing w:line="360" w:lineRule="auto"/>
              <w:jc w:val="center"/>
              <w:rPr>
                <w:rFonts w:eastAsia="Times New Roman"/>
                <w:sz w:val="20"/>
                <w:szCs w:val="20"/>
              </w:rPr>
            </w:pPr>
            <w:r>
              <w:rPr>
                <w:rFonts w:eastAsia="Times New Roman"/>
                <w:sz w:val="20"/>
                <w:szCs w:val="20"/>
              </w:rPr>
              <w:t>Mean (SE)</w:t>
            </w:r>
          </w:p>
        </w:tc>
        <w:tc>
          <w:tcPr>
            <w:tcW w:w="1100" w:type="dxa"/>
          </w:tcPr>
          <w:p w:rsidR="00B01192" w:rsidRDefault="00B01192"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Mean (SE)</w:t>
            </w:r>
          </w:p>
        </w:tc>
        <w:tc>
          <w:tcPr>
            <w:cnfStyle w:val="000010000000" w:firstRow="0" w:lastRow="0" w:firstColumn="0" w:lastColumn="0" w:oddVBand="1" w:evenVBand="0" w:oddHBand="0" w:evenHBand="0" w:firstRowFirstColumn="0" w:firstRowLastColumn="0" w:lastRowFirstColumn="0" w:lastRowLastColumn="0"/>
            <w:tcW w:w="1187" w:type="dxa"/>
          </w:tcPr>
          <w:p w:rsidR="00B01192" w:rsidRDefault="00B01192" w:rsidP="00D7060E">
            <w:pPr>
              <w:spacing w:line="360" w:lineRule="auto"/>
              <w:rPr>
                <w:rFonts w:eastAsia="Times New Roman"/>
                <w:sz w:val="20"/>
                <w:szCs w:val="20"/>
              </w:rPr>
            </w:pPr>
            <w:r>
              <w:rPr>
                <w:rFonts w:eastAsia="Times New Roman"/>
                <w:sz w:val="20"/>
                <w:szCs w:val="20"/>
              </w:rPr>
              <w:t>Mean (SE)</w:t>
            </w:r>
          </w:p>
        </w:tc>
      </w:tr>
      <w:tr w:rsidR="00B01192" w:rsidRPr="00D83068" w:rsidTr="00D7060E">
        <w:tc>
          <w:tcPr>
            <w:cnfStyle w:val="001000000000" w:firstRow="0" w:lastRow="0" w:firstColumn="1" w:lastColumn="0" w:oddVBand="0" w:evenVBand="0" w:oddHBand="0" w:evenHBand="0" w:firstRowFirstColumn="0" w:firstRowLastColumn="0" w:lastRowFirstColumn="0" w:lastRowLastColumn="0"/>
            <w:tcW w:w="1188" w:type="dxa"/>
          </w:tcPr>
          <w:p w:rsidR="00B01192" w:rsidRDefault="00B01192" w:rsidP="00D83068">
            <w:pPr>
              <w:spacing w:line="360" w:lineRule="auto"/>
              <w:jc w:val="center"/>
              <w:rPr>
                <w:rFonts w:eastAsia="Times New Roman"/>
                <w:sz w:val="20"/>
                <w:szCs w:val="20"/>
              </w:rPr>
            </w:pPr>
            <w:r>
              <w:rPr>
                <w:rFonts w:eastAsia="Times New Roman"/>
                <w:sz w:val="20"/>
                <w:szCs w:val="20"/>
              </w:rPr>
              <w:t>Age</w:t>
            </w:r>
          </w:p>
        </w:tc>
        <w:tc>
          <w:tcPr>
            <w:cnfStyle w:val="000010000000" w:firstRow="0" w:lastRow="0" w:firstColumn="0" w:lastColumn="0" w:oddVBand="1" w:evenVBand="0" w:oddHBand="0" w:evenHBand="0" w:firstRowFirstColumn="0" w:firstRowLastColumn="0" w:lastRowFirstColumn="0" w:lastRowLastColumn="0"/>
            <w:tcW w:w="1309" w:type="dxa"/>
          </w:tcPr>
          <w:p w:rsidR="00B01192" w:rsidRDefault="00B01192" w:rsidP="00D83068">
            <w:pPr>
              <w:spacing w:line="360" w:lineRule="auto"/>
              <w:jc w:val="center"/>
              <w:rPr>
                <w:rFonts w:eastAsia="Times New Roman"/>
                <w:sz w:val="20"/>
                <w:szCs w:val="20"/>
              </w:rPr>
            </w:pPr>
            <w:r w:rsidRPr="00B01192">
              <w:rPr>
                <w:rFonts w:eastAsia="Times New Roman"/>
                <w:sz w:val="20"/>
                <w:szCs w:val="20"/>
              </w:rPr>
              <w:t>14.2</w:t>
            </w:r>
            <w:r>
              <w:rPr>
                <w:rFonts w:eastAsia="Times New Roman"/>
                <w:sz w:val="20"/>
                <w:szCs w:val="20"/>
              </w:rPr>
              <w:t xml:space="preserve"> (1.81)</w:t>
            </w:r>
          </w:p>
        </w:tc>
        <w:tc>
          <w:tcPr>
            <w:tcW w:w="1308" w:type="dxa"/>
          </w:tcPr>
          <w:p w:rsidR="00B01192" w:rsidRDefault="00B01192"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14.1 (1.85)</w:t>
            </w:r>
          </w:p>
        </w:tc>
        <w:tc>
          <w:tcPr>
            <w:cnfStyle w:val="000010000000" w:firstRow="0" w:lastRow="0" w:firstColumn="0" w:lastColumn="0" w:oddVBand="1" w:evenVBand="0" w:oddHBand="0" w:evenHBand="0" w:firstRowFirstColumn="0" w:firstRowLastColumn="0" w:lastRowFirstColumn="0" w:lastRowLastColumn="0"/>
            <w:tcW w:w="1265" w:type="dxa"/>
          </w:tcPr>
          <w:p w:rsidR="00B01192" w:rsidRDefault="00B01192" w:rsidP="00D83068">
            <w:pPr>
              <w:spacing w:line="360" w:lineRule="auto"/>
              <w:jc w:val="center"/>
              <w:rPr>
                <w:rFonts w:eastAsia="Times New Roman"/>
                <w:sz w:val="20"/>
                <w:szCs w:val="20"/>
              </w:rPr>
            </w:pPr>
            <w:r>
              <w:rPr>
                <w:rFonts w:eastAsia="Times New Roman"/>
                <w:sz w:val="20"/>
                <w:szCs w:val="20"/>
              </w:rPr>
              <w:t>14.3 (1.83)</w:t>
            </w:r>
          </w:p>
        </w:tc>
        <w:tc>
          <w:tcPr>
            <w:tcW w:w="1218" w:type="dxa"/>
          </w:tcPr>
          <w:p w:rsidR="00B01192" w:rsidRDefault="00B01192"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14.2 (1.84)</w:t>
            </w:r>
          </w:p>
        </w:tc>
        <w:tc>
          <w:tcPr>
            <w:cnfStyle w:val="000010000000" w:firstRow="0" w:lastRow="0" w:firstColumn="0" w:lastColumn="0" w:oddVBand="1" w:evenVBand="0" w:oddHBand="0" w:evenHBand="0" w:firstRowFirstColumn="0" w:firstRowLastColumn="0" w:lastRowFirstColumn="0" w:lastRowLastColumn="0"/>
            <w:tcW w:w="1163" w:type="dxa"/>
          </w:tcPr>
          <w:p w:rsidR="00B01192" w:rsidRDefault="00D7060E" w:rsidP="00D83068">
            <w:pPr>
              <w:spacing w:line="360" w:lineRule="auto"/>
              <w:jc w:val="center"/>
              <w:rPr>
                <w:rFonts w:eastAsia="Times New Roman"/>
                <w:sz w:val="20"/>
                <w:szCs w:val="20"/>
              </w:rPr>
            </w:pPr>
            <w:r>
              <w:rPr>
                <w:rFonts w:eastAsia="Times New Roman"/>
                <w:sz w:val="20"/>
                <w:szCs w:val="20"/>
              </w:rPr>
              <w:t>14.2 (1.81)</w:t>
            </w:r>
          </w:p>
        </w:tc>
        <w:tc>
          <w:tcPr>
            <w:tcW w:w="1100" w:type="dxa"/>
          </w:tcPr>
          <w:p w:rsidR="00B01192" w:rsidRDefault="00D7060E" w:rsidP="00D83068">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Pr>
                <w:rFonts w:eastAsia="Times New Roman"/>
                <w:sz w:val="20"/>
                <w:szCs w:val="20"/>
              </w:rPr>
              <w:t>14.2 (1.85)</w:t>
            </w:r>
          </w:p>
        </w:tc>
        <w:tc>
          <w:tcPr>
            <w:cnfStyle w:val="000010000000" w:firstRow="0" w:lastRow="0" w:firstColumn="0" w:lastColumn="0" w:oddVBand="1" w:evenVBand="0" w:oddHBand="0" w:evenHBand="0" w:firstRowFirstColumn="0" w:firstRowLastColumn="0" w:lastRowFirstColumn="0" w:lastRowLastColumn="0"/>
            <w:tcW w:w="1187" w:type="dxa"/>
          </w:tcPr>
          <w:p w:rsidR="00B01192" w:rsidRDefault="00D7060E" w:rsidP="00D7060E">
            <w:pPr>
              <w:spacing w:line="360" w:lineRule="auto"/>
              <w:rPr>
                <w:rFonts w:eastAsia="Times New Roman"/>
                <w:sz w:val="20"/>
                <w:szCs w:val="20"/>
              </w:rPr>
            </w:pPr>
            <w:r>
              <w:rPr>
                <w:rFonts w:eastAsia="Times New Roman"/>
                <w:sz w:val="20"/>
                <w:szCs w:val="20"/>
              </w:rPr>
              <w:t>14.3 (1.85)</w:t>
            </w:r>
          </w:p>
        </w:tc>
      </w:tr>
    </w:tbl>
    <w:p w:rsidR="0092036A" w:rsidRDefault="00FD68DC" w:rsidP="00FD68DC">
      <w:pPr>
        <w:spacing w:line="480" w:lineRule="auto"/>
        <w:rPr>
          <w:rFonts w:eastAsia="Times New Roman"/>
        </w:rPr>
      </w:pPr>
      <w:r w:rsidRPr="00FD68DC">
        <w:rPr>
          <w:rFonts w:eastAsia="Times New Roman"/>
        </w:rPr>
        <w:tab/>
      </w:r>
      <w:r w:rsidRPr="00FD68DC">
        <w:rPr>
          <w:rFonts w:eastAsia="Times New Roman"/>
        </w:rPr>
        <w:tab/>
      </w:r>
    </w:p>
    <w:p w:rsidR="003060DC" w:rsidRDefault="004610A3" w:rsidP="0092036A">
      <w:pPr>
        <w:spacing w:line="480" w:lineRule="auto"/>
        <w:ind w:firstLine="720"/>
        <w:rPr>
          <w:rFonts w:eastAsia="Times New Roman"/>
        </w:rPr>
      </w:pPr>
      <w:r>
        <w:rPr>
          <w:rFonts w:eastAsia="Times New Roman"/>
        </w:rPr>
        <w:t>The literature is divided on the inclusion of controls for state fixed effects. Dutra et al. exclude state fixed effects from their models because of concerns of collinearity between state indicators and the state level indicator for ENDS regulation. Pesko et al. and Dave et al. however include state fixed effects. I decided to include models both with and without state fixed effects, ho</w:t>
      </w:r>
      <w:r w:rsidR="00C61DB0">
        <w:rPr>
          <w:rFonts w:eastAsia="Times New Roman"/>
        </w:rPr>
        <w:t>wever as can be seen in Tables 3 and 4</w:t>
      </w:r>
      <w:r>
        <w:rPr>
          <w:rFonts w:eastAsia="Times New Roman"/>
        </w:rPr>
        <w:t xml:space="preserve">, coefficients for the variable of interest were significant </w:t>
      </w:r>
      <w:r>
        <w:rPr>
          <w:rFonts w:eastAsia="Times New Roman"/>
        </w:rPr>
        <w:lastRenderedPageBreak/>
        <w:t xml:space="preserve">only in models that included state fixed effects. This indicates that the effect of MLSA or SSCB law is difficult to separate from pre-existing state-level heterogeneity if the variation is not controlled for. I did not, however, include controls for state-specific time trends in an effort to avoid masking identifying variation. This paper therefore implicitly relies on the assumption of parallel time trends across states. </w:t>
      </w:r>
    </w:p>
    <w:p w:rsidR="00BD1615" w:rsidRDefault="00BD1615" w:rsidP="00BD1615">
      <w:pPr>
        <w:spacing w:line="480" w:lineRule="auto"/>
        <w:ind w:firstLine="720"/>
        <w:rPr>
          <w:rFonts w:eastAsia="Times New Roman"/>
        </w:rPr>
      </w:pPr>
    </w:p>
    <w:p w:rsidR="003060DC" w:rsidRDefault="003060DC" w:rsidP="00063513">
      <w:pPr>
        <w:spacing w:line="480" w:lineRule="auto"/>
        <w:rPr>
          <w:rFonts w:eastAsia="Times New Roman"/>
        </w:rPr>
      </w:pPr>
      <w:r>
        <w:rPr>
          <w:rFonts w:eastAsia="Times New Roman"/>
        </w:rPr>
        <w:tab/>
        <w:t xml:space="preserve">As well as varying the inclusion of state fixed-effects, I created models that controlled for ENDS use by the respondent, either through a binary variable (1 if the respondent has smoked cigarettes in the past month, 0 if not) or categorical (levels representing different frequencies of cigarette use). </w:t>
      </w:r>
      <w:r w:rsidR="005973FE">
        <w:rPr>
          <w:rFonts w:eastAsia="Times New Roman"/>
        </w:rPr>
        <w:t>Unfortunately, because the analysis uses pooled cross-sectional data rather than true panel data, it is ambiguous whether ENDS use is a mediating or confounding variable in model. To be conservative, I reported results bot</w:t>
      </w:r>
      <w:r w:rsidR="00874340">
        <w:rPr>
          <w:rFonts w:eastAsia="Times New Roman"/>
        </w:rPr>
        <w:t xml:space="preserve">h with and without this control. </w:t>
      </w:r>
    </w:p>
    <w:p w:rsidR="0012055B" w:rsidRDefault="0012055B" w:rsidP="00063513">
      <w:pPr>
        <w:spacing w:line="480" w:lineRule="auto"/>
        <w:ind w:firstLine="720"/>
        <w:rPr>
          <w:rFonts w:eastAsia="Times New Roman"/>
        </w:rPr>
      </w:pPr>
    </w:p>
    <w:p w:rsidR="0012055B" w:rsidRDefault="004610A3" w:rsidP="00063513">
      <w:pPr>
        <w:spacing w:line="480" w:lineRule="auto"/>
        <w:rPr>
          <w:rFonts w:eastAsia="Times New Roman"/>
          <w:b/>
        </w:rPr>
      </w:pPr>
      <w:r>
        <w:rPr>
          <w:rFonts w:eastAsia="Times New Roman"/>
          <w:b/>
        </w:rPr>
        <w:t>Results</w:t>
      </w:r>
    </w:p>
    <w:p w:rsidR="0012055B" w:rsidRDefault="004610A3" w:rsidP="00063513">
      <w:pPr>
        <w:spacing w:line="480" w:lineRule="auto"/>
        <w:ind w:firstLine="720"/>
        <w:rPr>
          <w:rFonts w:eastAsia="Times New Roman"/>
        </w:rPr>
      </w:pPr>
      <w:r>
        <w:rPr>
          <w:rFonts w:eastAsia="Times New Roman"/>
        </w:rPr>
        <w:t>According to difference in difference analysis, the legislation of minimum sales age laws decreased rates of youth ENDS use (</w:t>
      </w:r>
      <w:r>
        <w:rPr>
          <w:rFonts w:eastAsia="Times New Roman"/>
          <w:i/>
        </w:rPr>
        <w:t>p</w:t>
      </w:r>
      <w:r>
        <w:rPr>
          <w:rFonts w:eastAsia="Times New Roman"/>
        </w:rPr>
        <w:t xml:space="preserve"> = .011). Banning self-service displays of ENDS also decreased rates of youth ENDS use (</w:t>
      </w:r>
      <w:r>
        <w:rPr>
          <w:rFonts w:eastAsia="Times New Roman"/>
          <w:i/>
        </w:rPr>
        <w:t>p</w:t>
      </w:r>
      <w:r w:rsidR="005A6B37">
        <w:rPr>
          <w:rFonts w:eastAsia="Times New Roman"/>
        </w:rPr>
        <w:t xml:space="preserve"> = .040</w:t>
      </w:r>
      <w:r>
        <w:rPr>
          <w:rFonts w:eastAsia="Times New Roman"/>
        </w:rPr>
        <w:t xml:space="preserve">). The results suggest that the ENDS regulations investigated are indeed effective at reducing rates of adolescent use. </w:t>
      </w:r>
    </w:p>
    <w:p w:rsidR="0012055B" w:rsidRDefault="0012055B" w:rsidP="00063513">
      <w:pPr>
        <w:spacing w:line="480" w:lineRule="auto"/>
        <w:ind w:firstLine="720"/>
        <w:rPr>
          <w:rFonts w:eastAsia="Times New Roman"/>
        </w:rPr>
      </w:pPr>
    </w:p>
    <w:p w:rsidR="0012055B" w:rsidRDefault="004610A3" w:rsidP="00063513">
      <w:pPr>
        <w:spacing w:line="480" w:lineRule="auto"/>
        <w:ind w:firstLine="720"/>
        <w:rPr>
          <w:rFonts w:eastAsia="Times New Roman"/>
        </w:rPr>
      </w:pPr>
      <w:r>
        <w:rPr>
          <w:rFonts w:eastAsia="Times New Roman"/>
        </w:rPr>
        <w:t xml:space="preserve">While the MLSA model that excluded controls for ENDS use and state fixed effects yielded a statistically significant negative effect of MLSA laws on youth cigarette use, the finding was not robust. </w:t>
      </w:r>
      <w:r w:rsidR="00606E58">
        <w:rPr>
          <w:rFonts w:eastAsia="Times New Roman"/>
        </w:rPr>
        <w:t xml:space="preserve">Controlling for state fixed-effects moved the coefficient higher, but removed its significance. Controlling for ENDS use in the past 30 days moved the coefficient </w:t>
      </w:r>
      <w:r w:rsidR="00606E58">
        <w:rPr>
          <w:rFonts w:eastAsia="Times New Roman"/>
        </w:rPr>
        <w:lastRenderedPageBreak/>
        <w:t>higher still. Controlling for the frequency of ENDS use in the past 30 days yielded the highest coefficient, on the verge of significance (</w:t>
      </w:r>
      <w:r w:rsidR="00606E58">
        <w:rPr>
          <w:rFonts w:eastAsia="Times New Roman"/>
          <w:i/>
        </w:rPr>
        <w:t>p</w:t>
      </w:r>
      <w:r w:rsidR="00606E58">
        <w:rPr>
          <w:rFonts w:eastAsia="Times New Roman"/>
        </w:rPr>
        <w:t xml:space="preserve"> = .107). </w:t>
      </w:r>
    </w:p>
    <w:p w:rsidR="00606E58" w:rsidRDefault="00606E58" w:rsidP="00063513">
      <w:pPr>
        <w:spacing w:line="480" w:lineRule="auto"/>
        <w:ind w:firstLine="720"/>
        <w:rPr>
          <w:rFonts w:eastAsia="Times New Roman"/>
        </w:rPr>
      </w:pPr>
    </w:p>
    <w:p w:rsidR="00606E58" w:rsidRPr="00606E58" w:rsidRDefault="00606E58" w:rsidP="00063513">
      <w:pPr>
        <w:spacing w:line="480" w:lineRule="auto"/>
        <w:ind w:firstLine="720"/>
        <w:rPr>
          <w:rFonts w:eastAsia="Times New Roman"/>
        </w:rPr>
      </w:pPr>
      <w:r>
        <w:rPr>
          <w:rFonts w:eastAsia="Times New Roman"/>
        </w:rPr>
        <w:t>A similar pattern emerged for the analysis of self-service display bans. Coefficients increased as controls were added. The final model, controlling for frequency of ENDS use in the past 30 days, yielded a statistically significant positive effect of self-service display bans on youth smoking (</w:t>
      </w:r>
      <w:r>
        <w:rPr>
          <w:rFonts w:eastAsia="Times New Roman"/>
          <w:i/>
        </w:rPr>
        <w:t>p</w:t>
      </w:r>
      <w:r>
        <w:rPr>
          <w:rFonts w:eastAsia="Times New Roman"/>
        </w:rPr>
        <w:t xml:space="preserve"> = .025). </w:t>
      </w:r>
    </w:p>
    <w:p w:rsidR="0012055B" w:rsidRDefault="0012055B">
      <w:pPr>
        <w:rPr>
          <w:rFonts w:eastAsia="Times New Roman"/>
          <w:b/>
        </w:rPr>
      </w:pPr>
    </w:p>
    <w:p w:rsidR="0012055B" w:rsidRDefault="004610A3">
      <w:pPr>
        <w:rPr>
          <w:rFonts w:eastAsia="Times New Roman"/>
        </w:rPr>
      </w:pPr>
      <w:r>
        <w:rPr>
          <w:rFonts w:eastAsia="Times New Roman"/>
        </w:rPr>
        <w:t>*Note: All models are controlled for age, gender, race, and year fixed effects.</w:t>
      </w:r>
    </w:p>
    <w:p w:rsidR="0012055B" w:rsidRDefault="0012055B">
      <w:pPr>
        <w:rPr>
          <w:rFonts w:eastAsia="Times New Roman"/>
        </w:rPr>
      </w:pPr>
    </w:p>
    <w:p w:rsidR="0012055B" w:rsidRDefault="00C61DB0">
      <w:pPr>
        <w:rPr>
          <w:rFonts w:eastAsia="Times New Roman"/>
          <w:b/>
          <w:sz w:val="20"/>
          <w:szCs w:val="20"/>
        </w:rPr>
      </w:pPr>
      <w:r>
        <w:rPr>
          <w:rFonts w:eastAsia="Times New Roman"/>
          <w:b/>
          <w:sz w:val="20"/>
          <w:szCs w:val="20"/>
        </w:rPr>
        <w:t>Table 3</w:t>
      </w:r>
    </w:p>
    <w:p w:rsidR="0012055B" w:rsidRDefault="004610A3">
      <w:pPr>
        <w:rPr>
          <w:rFonts w:eastAsia="Times New Roman"/>
          <w:sz w:val="20"/>
          <w:szCs w:val="20"/>
        </w:rPr>
      </w:pPr>
      <w:r>
        <w:rPr>
          <w:rFonts w:eastAsia="Times New Roman"/>
          <w:sz w:val="20"/>
          <w:szCs w:val="20"/>
        </w:rPr>
        <w:t>Effectiveness of MLSA laws: Probability respondent used ENDS in past 30 days</w:t>
      </w:r>
    </w:p>
    <w:tbl>
      <w:tblPr>
        <w:tblStyle w:val="ListTable4-Accent1"/>
        <w:tblW w:w="9360" w:type="dxa"/>
        <w:tblLayout w:type="fixed"/>
        <w:tblLook w:val="0400" w:firstRow="0" w:lastRow="0" w:firstColumn="0" w:lastColumn="0" w:noHBand="0" w:noVBand="1"/>
      </w:tblPr>
      <w:tblGrid>
        <w:gridCol w:w="3120"/>
        <w:gridCol w:w="3120"/>
        <w:gridCol w:w="3120"/>
      </w:tblGrid>
      <w:tr w:rsidR="00F52CD0" w:rsidTr="00F52CD0">
        <w:trPr>
          <w:cnfStyle w:val="000000100000" w:firstRow="0" w:lastRow="0" w:firstColumn="0" w:lastColumn="0" w:oddVBand="0" w:evenVBand="0" w:oddHBand="1" w:evenHBand="0" w:firstRowFirstColumn="0" w:firstRowLastColumn="0" w:lastRowFirstColumn="0" w:lastRowLastColumn="0"/>
        </w:trPr>
        <w:tc>
          <w:tcPr>
            <w:tcW w:w="3120" w:type="dxa"/>
          </w:tcPr>
          <w:p w:rsidR="0012055B" w:rsidRDefault="00CB2F79">
            <w:pPr>
              <w:widowControl w:val="0"/>
              <w:pBdr>
                <w:top w:val="nil"/>
                <w:left w:val="nil"/>
                <w:bottom w:val="nil"/>
                <w:right w:val="nil"/>
                <w:between w:val="nil"/>
              </w:pBdr>
              <w:rPr>
                <w:rFonts w:eastAsia="Times New Roman"/>
                <w:sz w:val="20"/>
                <w:szCs w:val="20"/>
              </w:rPr>
            </w:pPr>
            <w:r>
              <w:rPr>
                <w:rFonts w:eastAsia="Times New Roman"/>
                <w:sz w:val="20"/>
                <w:szCs w:val="20"/>
              </w:rPr>
              <w:t>Model Iteration</w:t>
            </w:r>
          </w:p>
        </w:tc>
        <w:tc>
          <w:tcPr>
            <w:tcW w:w="3120" w:type="dxa"/>
          </w:tcPr>
          <w:p w:rsidR="0012055B" w:rsidRDefault="004610A3">
            <w:pPr>
              <w:widowControl w:val="0"/>
              <w:pBdr>
                <w:top w:val="nil"/>
                <w:left w:val="nil"/>
                <w:bottom w:val="nil"/>
                <w:right w:val="nil"/>
                <w:between w:val="nil"/>
              </w:pBdr>
              <w:jc w:val="center"/>
              <w:rPr>
                <w:rFonts w:eastAsia="Times New Roman"/>
                <w:sz w:val="20"/>
                <w:szCs w:val="20"/>
              </w:rPr>
            </w:pPr>
            <w:r>
              <w:rPr>
                <w:rFonts w:eastAsia="Times New Roman"/>
                <w:sz w:val="20"/>
                <w:szCs w:val="20"/>
              </w:rPr>
              <w:t>1</w:t>
            </w:r>
          </w:p>
        </w:tc>
        <w:tc>
          <w:tcPr>
            <w:tcW w:w="3120" w:type="dxa"/>
          </w:tcPr>
          <w:p w:rsidR="0012055B" w:rsidRDefault="004610A3">
            <w:pPr>
              <w:widowControl w:val="0"/>
              <w:pBdr>
                <w:top w:val="nil"/>
                <w:left w:val="nil"/>
                <w:bottom w:val="nil"/>
                <w:right w:val="nil"/>
                <w:between w:val="nil"/>
              </w:pBdr>
              <w:jc w:val="center"/>
              <w:rPr>
                <w:rFonts w:eastAsia="Times New Roman"/>
                <w:sz w:val="20"/>
                <w:szCs w:val="20"/>
              </w:rPr>
            </w:pPr>
            <w:r>
              <w:rPr>
                <w:rFonts w:eastAsia="Times New Roman"/>
                <w:sz w:val="20"/>
                <w:szCs w:val="20"/>
              </w:rPr>
              <w:t>2</w:t>
            </w:r>
          </w:p>
        </w:tc>
      </w:tr>
      <w:tr w:rsidR="0012055B" w:rsidTr="00F52CD0">
        <w:tc>
          <w:tcPr>
            <w:tcW w:w="3120" w:type="dxa"/>
          </w:tcPr>
          <w:p w:rsidR="0012055B" w:rsidRDefault="004610A3">
            <w:pPr>
              <w:widowControl w:val="0"/>
              <w:pBdr>
                <w:top w:val="nil"/>
                <w:left w:val="nil"/>
                <w:bottom w:val="nil"/>
                <w:right w:val="nil"/>
                <w:between w:val="nil"/>
              </w:pBdr>
              <w:rPr>
                <w:rFonts w:eastAsia="Times New Roman"/>
                <w:sz w:val="20"/>
                <w:szCs w:val="20"/>
              </w:rPr>
            </w:pPr>
            <w:r>
              <w:rPr>
                <w:rFonts w:eastAsia="Times New Roman"/>
                <w:sz w:val="20"/>
                <w:szCs w:val="20"/>
              </w:rPr>
              <w:t>MLSA</w:t>
            </w:r>
          </w:p>
        </w:tc>
        <w:tc>
          <w:tcPr>
            <w:tcW w:w="3120" w:type="dxa"/>
          </w:tcPr>
          <w:p w:rsidR="0012055B" w:rsidRDefault="0048392D">
            <w:pPr>
              <w:widowControl w:val="0"/>
              <w:pBdr>
                <w:top w:val="nil"/>
                <w:left w:val="nil"/>
                <w:bottom w:val="nil"/>
                <w:right w:val="nil"/>
                <w:between w:val="nil"/>
              </w:pBdr>
              <w:jc w:val="center"/>
              <w:rPr>
                <w:rFonts w:eastAsia="Times New Roman"/>
                <w:sz w:val="20"/>
                <w:szCs w:val="20"/>
              </w:rPr>
            </w:pPr>
            <w:r>
              <w:rPr>
                <w:rFonts w:eastAsia="Times New Roman"/>
                <w:sz w:val="20"/>
                <w:szCs w:val="20"/>
              </w:rPr>
              <w:t>.994</w:t>
            </w:r>
          </w:p>
          <w:p w:rsidR="0012055B" w:rsidRDefault="0048392D">
            <w:pPr>
              <w:widowControl w:val="0"/>
              <w:pBdr>
                <w:top w:val="nil"/>
                <w:left w:val="nil"/>
                <w:bottom w:val="nil"/>
                <w:right w:val="nil"/>
                <w:between w:val="nil"/>
              </w:pBdr>
              <w:jc w:val="center"/>
              <w:rPr>
                <w:rFonts w:eastAsia="Times New Roman"/>
                <w:sz w:val="20"/>
                <w:szCs w:val="20"/>
              </w:rPr>
            </w:pPr>
            <w:r>
              <w:rPr>
                <w:rFonts w:eastAsia="Times New Roman"/>
                <w:sz w:val="20"/>
                <w:szCs w:val="20"/>
              </w:rPr>
              <w:t>[.938, 1.05</w:t>
            </w:r>
            <w:r w:rsidR="004610A3">
              <w:rPr>
                <w:rFonts w:eastAsia="Times New Roman"/>
                <w:sz w:val="20"/>
                <w:szCs w:val="20"/>
              </w:rPr>
              <w:t>]</w:t>
            </w:r>
          </w:p>
        </w:tc>
        <w:tc>
          <w:tcPr>
            <w:tcW w:w="3120" w:type="dxa"/>
          </w:tcPr>
          <w:p w:rsidR="0012055B" w:rsidRDefault="004610A3">
            <w:pPr>
              <w:widowControl w:val="0"/>
              <w:pBdr>
                <w:top w:val="nil"/>
                <w:left w:val="nil"/>
                <w:bottom w:val="nil"/>
                <w:right w:val="nil"/>
                <w:between w:val="nil"/>
              </w:pBdr>
              <w:jc w:val="center"/>
              <w:rPr>
                <w:rFonts w:eastAsia="Times New Roman"/>
                <w:sz w:val="20"/>
                <w:szCs w:val="20"/>
              </w:rPr>
            </w:pPr>
            <w:r>
              <w:rPr>
                <w:rFonts w:eastAsia="Times New Roman"/>
                <w:sz w:val="20"/>
                <w:szCs w:val="20"/>
              </w:rPr>
              <w:t>.891**</w:t>
            </w:r>
          </w:p>
          <w:p w:rsidR="0012055B" w:rsidRDefault="004610A3">
            <w:pPr>
              <w:widowControl w:val="0"/>
              <w:pBdr>
                <w:top w:val="nil"/>
                <w:left w:val="nil"/>
                <w:bottom w:val="nil"/>
                <w:right w:val="nil"/>
                <w:between w:val="nil"/>
              </w:pBdr>
              <w:jc w:val="center"/>
              <w:rPr>
                <w:rFonts w:eastAsia="Times New Roman"/>
                <w:sz w:val="20"/>
                <w:szCs w:val="20"/>
              </w:rPr>
            </w:pPr>
            <w:r>
              <w:rPr>
                <w:rFonts w:eastAsia="Times New Roman"/>
                <w:sz w:val="20"/>
                <w:szCs w:val="20"/>
              </w:rPr>
              <w:t>[.815, .974]</w:t>
            </w:r>
          </w:p>
        </w:tc>
      </w:tr>
      <w:tr w:rsidR="00F52CD0" w:rsidTr="00F52CD0">
        <w:trPr>
          <w:cnfStyle w:val="000000100000" w:firstRow="0" w:lastRow="0" w:firstColumn="0" w:lastColumn="0" w:oddVBand="0" w:evenVBand="0" w:oddHBand="1" w:evenHBand="0" w:firstRowFirstColumn="0" w:firstRowLastColumn="0" w:lastRowFirstColumn="0" w:lastRowLastColumn="0"/>
        </w:trPr>
        <w:tc>
          <w:tcPr>
            <w:tcW w:w="3120" w:type="dxa"/>
          </w:tcPr>
          <w:p w:rsidR="0012055B" w:rsidRDefault="004610A3">
            <w:pPr>
              <w:widowControl w:val="0"/>
              <w:pBdr>
                <w:top w:val="nil"/>
                <w:left w:val="nil"/>
                <w:bottom w:val="nil"/>
                <w:right w:val="nil"/>
                <w:between w:val="nil"/>
              </w:pBdr>
              <w:rPr>
                <w:rFonts w:eastAsia="Times New Roman"/>
                <w:sz w:val="20"/>
                <w:szCs w:val="20"/>
              </w:rPr>
            </w:pPr>
            <w:r>
              <w:rPr>
                <w:rFonts w:eastAsia="Times New Roman"/>
                <w:sz w:val="20"/>
                <w:szCs w:val="20"/>
              </w:rPr>
              <w:t>State indicators?</w:t>
            </w:r>
          </w:p>
        </w:tc>
        <w:tc>
          <w:tcPr>
            <w:tcW w:w="3120" w:type="dxa"/>
          </w:tcPr>
          <w:p w:rsidR="0012055B" w:rsidRDefault="004610A3">
            <w:pPr>
              <w:widowControl w:val="0"/>
              <w:pBdr>
                <w:top w:val="nil"/>
                <w:left w:val="nil"/>
                <w:bottom w:val="nil"/>
                <w:right w:val="nil"/>
                <w:between w:val="nil"/>
              </w:pBdr>
              <w:jc w:val="center"/>
              <w:rPr>
                <w:rFonts w:eastAsia="Times New Roman"/>
                <w:sz w:val="20"/>
                <w:szCs w:val="20"/>
              </w:rPr>
            </w:pPr>
            <w:r>
              <w:rPr>
                <w:rFonts w:eastAsia="Times New Roman"/>
                <w:sz w:val="20"/>
                <w:szCs w:val="20"/>
              </w:rPr>
              <w:t>No</w:t>
            </w:r>
          </w:p>
        </w:tc>
        <w:tc>
          <w:tcPr>
            <w:tcW w:w="3120" w:type="dxa"/>
          </w:tcPr>
          <w:p w:rsidR="0012055B" w:rsidRDefault="004610A3">
            <w:pPr>
              <w:widowControl w:val="0"/>
              <w:pBdr>
                <w:top w:val="nil"/>
                <w:left w:val="nil"/>
                <w:bottom w:val="nil"/>
                <w:right w:val="nil"/>
                <w:between w:val="nil"/>
              </w:pBdr>
              <w:jc w:val="center"/>
              <w:rPr>
                <w:rFonts w:eastAsia="Times New Roman"/>
                <w:sz w:val="20"/>
                <w:szCs w:val="20"/>
              </w:rPr>
            </w:pPr>
            <w:r>
              <w:rPr>
                <w:rFonts w:eastAsia="Times New Roman"/>
                <w:sz w:val="20"/>
                <w:szCs w:val="20"/>
              </w:rPr>
              <w:t>Yes</w:t>
            </w:r>
          </w:p>
        </w:tc>
      </w:tr>
    </w:tbl>
    <w:p w:rsidR="0012055B" w:rsidRDefault="004610A3">
      <w:pPr>
        <w:rPr>
          <w:rFonts w:eastAsia="Times New Roman"/>
          <w:sz w:val="20"/>
          <w:szCs w:val="20"/>
        </w:rPr>
      </w:pPr>
      <w:r>
        <w:rPr>
          <w:rFonts w:eastAsia="Times New Roman"/>
          <w:sz w:val="20"/>
          <w:szCs w:val="20"/>
        </w:rPr>
        <w:t>Estimates are odds ratios. 95% Confidence Intervals indicated in brackets.</w:t>
      </w:r>
    </w:p>
    <w:p w:rsidR="0012055B" w:rsidRDefault="004610A3">
      <w:pPr>
        <w:rPr>
          <w:rFonts w:eastAsia="Times New Roman"/>
          <w:sz w:val="20"/>
          <w:szCs w:val="20"/>
        </w:rPr>
      </w:pPr>
      <w:r>
        <w:rPr>
          <w:rFonts w:eastAsia="Times New Roman"/>
          <w:sz w:val="20"/>
          <w:szCs w:val="20"/>
        </w:rPr>
        <w:t xml:space="preserve">* </w:t>
      </w:r>
      <w:r>
        <w:rPr>
          <w:rFonts w:eastAsia="Times New Roman"/>
          <w:i/>
          <w:sz w:val="20"/>
          <w:szCs w:val="20"/>
        </w:rPr>
        <w:t>p</w:t>
      </w:r>
      <w:r>
        <w:rPr>
          <w:rFonts w:eastAsia="Times New Roman"/>
          <w:sz w:val="20"/>
          <w:szCs w:val="20"/>
        </w:rPr>
        <w:t xml:space="preserve"> &lt; .10   **</w:t>
      </w:r>
      <w:r>
        <w:rPr>
          <w:rFonts w:eastAsia="Times New Roman"/>
          <w:i/>
          <w:sz w:val="20"/>
          <w:szCs w:val="20"/>
        </w:rPr>
        <w:t>p</w:t>
      </w:r>
      <w:r>
        <w:rPr>
          <w:rFonts w:eastAsia="Times New Roman"/>
          <w:sz w:val="20"/>
          <w:szCs w:val="20"/>
        </w:rPr>
        <w:t xml:space="preserve"> &lt; .05</w:t>
      </w:r>
    </w:p>
    <w:p w:rsidR="0012055B" w:rsidRPr="00701078" w:rsidRDefault="0012055B">
      <w:pPr>
        <w:rPr>
          <w:rFonts w:eastAsia="Times New Roman"/>
          <w:sz w:val="20"/>
          <w:szCs w:val="20"/>
        </w:rPr>
      </w:pPr>
    </w:p>
    <w:p w:rsidR="0012055B" w:rsidRDefault="00C61DB0">
      <w:pPr>
        <w:rPr>
          <w:rFonts w:eastAsia="Times New Roman"/>
          <w:b/>
          <w:sz w:val="20"/>
          <w:szCs w:val="20"/>
        </w:rPr>
      </w:pPr>
      <w:r>
        <w:rPr>
          <w:rFonts w:eastAsia="Times New Roman"/>
          <w:b/>
          <w:sz w:val="20"/>
          <w:szCs w:val="20"/>
        </w:rPr>
        <w:t>Table 4</w:t>
      </w:r>
    </w:p>
    <w:p w:rsidR="0012055B" w:rsidRDefault="004610A3">
      <w:pPr>
        <w:rPr>
          <w:rFonts w:eastAsia="Times New Roman"/>
          <w:sz w:val="20"/>
          <w:szCs w:val="20"/>
        </w:rPr>
      </w:pPr>
      <w:r>
        <w:rPr>
          <w:rFonts w:eastAsia="Times New Roman"/>
          <w:sz w:val="20"/>
          <w:szCs w:val="20"/>
        </w:rPr>
        <w:t>Effectiveness of SSDB laws: Probability respondent used ENDS in past 30 days</w:t>
      </w:r>
    </w:p>
    <w:tbl>
      <w:tblPr>
        <w:tblStyle w:val="ListTable4-Accent1"/>
        <w:tblW w:w="9360" w:type="dxa"/>
        <w:tblLayout w:type="fixed"/>
        <w:tblLook w:val="0400" w:firstRow="0" w:lastRow="0" w:firstColumn="0" w:lastColumn="0" w:noHBand="0" w:noVBand="1"/>
      </w:tblPr>
      <w:tblGrid>
        <w:gridCol w:w="3120"/>
        <w:gridCol w:w="3120"/>
        <w:gridCol w:w="3120"/>
      </w:tblGrid>
      <w:tr w:rsidR="0012055B" w:rsidTr="00F52CD0">
        <w:trPr>
          <w:cnfStyle w:val="000000100000" w:firstRow="0" w:lastRow="0" w:firstColumn="0" w:lastColumn="0" w:oddVBand="0" w:evenVBand="0" w:oddHBand="1" w:evenHBand="0" w:firstRowFirstColumn="0" w:firstRowLastColumn="0" w:lastRowFirstColumn="0" w:lastRowLastColumn="0"/>
        </w:trPr>
        <w:tc>
          <w:tcPr>
            <w:tcW w:w="3120" w:type="dxa"/>
          </w:tcPr>
          <w:p w:rsidR="0012055B" w:rsidRDefault="00F52CD0">
            <w:pPr>
              <w:widowControl w:val="0"/>
              <w:rPr>
                <w:rFonts w:eastAsia="Times New Roman"/>
                <w:sz w:val="20"/>
                <w:szCs w:val="20"/>
              </w:rPr>
            </w:pPr>
            <w:r>
              <w:rPr>
                <w:rFonts w:eastAsia="Times New Roman"/>
                <w:sz w:val="20"/>
                <w:szCs w:val="20"/>
              </w:rPr>
              <w:t>Model Iteration</w:t>
            </w:r>
          </w:p>
        </w:tc>
        <w:tc>
          <w:tcPr>
            <w:tcW w:w="3120" w:type="dxa"/>
          </w:tcPr>
          <w:p w:rsidR="0012055B" w:rsidRDefault="004610A3">
            <w:pPr>
              <w:widowControl w:val="0"/>
              <w:jc w:val="center"/>
              <w:rPr>
                <w:rFonts w:eastAsia="Times New Roman"/>
                <w:sz w:val="20"/>
                <w:szCs w:val="20"/>
              </w:rPr>
            </w:pPr>
            <w:r>
              <w:rPr>
                <w:rFonts w:eastAsia="Times New Roman"/>
                <w:sz w:val="20"/>
                <w:szCs w:val="20"/>
              </w:rPr>
              <w:t>1</w:t>
            </w:r>
          </w:p>
        </w:tc>
        <w:tc>
          <w:tcPr>
            <w:tcW w:w="3120" w:type="dxa"/>
          </w:tcPr>
          <w:p w:rsidR="0012055B" w:rsidRDefault="004610A3">
            <w:pPr>
              <w:widowControl w:val="0"/>
              <w:jc w:val="center"/>
              <w:rPr>
                <w:rFonts w:eastAsia="Times New Roman"/>
                <w:sz w:val="20"/>
                <w:szCs w:val="20"/>
              </w:rPr>
            </w:pPr>
            <w:r>
              <w:rPr>
                <w:rFonts w:eastAsia="Times New Roman"/>
                <w:sz w:val="20"/>
                <w:szCs w:val="20"/>
              </w:rPr>
              <w:t>2</w:t>
            </w:r>
          </w:p>
        </w:tc>
      </w:tr>
      <w:tr w:rsidR="0012055B" w:rsidTr="00F52CD0">
        <w:tc>
          <w:tcPr>
            <w:tcW w:w="3120" w:type="dxa"/>
          </w:tcPr>
          <w:p w:rsidR="0012055B" w:rsidRDefault="004610A3">
            <w:pPr>
              <w:widowControl w:val="0"/>
              <w:rPr>
                <w:rFonts w:eastAsia="Times New Roman"/>
                <w:sz w:val="20"/>
                <w:szCs w:val="20"/>
              </w:rPr>
            </w:pPr>
            <w:r>
              <w:rPr>
                <w:rFonts w:eastAsia="Times New Roman"/>
                <w:sz w:val="20"/>
                <w:szCs w:val="20"/>
              </w:rPr>
              <w:t>SSDB</w:t>
            </w:r>
          </w:p>
        </w:tc>
        <w:tc>
          <w:tcPr>
            <w:tcW w:w="3120" w:type="dxa"/>
          </w:tcPr>
          <w:p w:rsidR="0012055B" w:rsidRDefault="004610A3">
            <w:pPr>
              <w:widowControl w:val="0"/>
              <w:jc w:val="center"/>
              <w:rPr>
                <w:rFonts w:eastAsia="Times New Roman"/>
                <w:sz w:val="20"/>
                <w:szCs w:val="20"/>
              </w:rPr>
            </w:pPr>
            <w:r>
              <w:rPr>
                <w:rFonts w:eastAsia="Times New Roman"/>
                <w:sz w:val="20"/>
                <w:szCs w:val="20"/>
              </w:rPr>
              <w:t>1.01</w:t>
            </w:r>
          </w:p>
          <w:p w:rsidR="0012055B" w:rsidRDefault="004610A3">
            <w:pPr>
              <w:widowControl w:val="0"/>
              <w:jc w:val="center"/>
              <w:rPr>
                <w:rFonts w:eastAsia="Times New Roman"/>
                <w:sz w:val="20"/>
                <w:szCs w:val="20"/>
              </w:rPr>
            </w:pPr>
            <w:r>
              <w:rPr>
                <w:rFonts w:eastAsia="Times New Roman"/>
                <w:sz w:val="20"/>
                <w:szCs w:val="20"/>
              </w:rPr>
              <w:t>[.915, 1.12]</w:t>
            </w:r>
          </w:p>
        </w:tc>
        <w:tc>
          <w:tcPr>
            <w:tcW w:w="3120" w:type="dxa"/>
          </w:tcPr>
          <w:p w:rsidR="0012055B" w:rsidRDefault="0048392D">
            <w:pPr>
              <w:widowControl w:val="0"/>
              <w:jc w:val="center"/>
              <w:rPr>
                <w:rFonts w:eastAsia="Times New Roman"/>
                <w:sz w:val="20"/>
                <w:szCs w:val="20"/>
              </w:rPr>
            </w:pPr>
            <w:r>
              <w:rPr>
                <w:rFonts w:eastAsia="Times New Roman"/>
                <w:sz w:val="20"/>
                <w:szCs w:val="20"/>
              </w:rPr>
              <w:t>.912</w:t>
            </w:r>
            <w:r w:rsidR="004610A3">
              <w:rPr>
                <w:rFonts w:eastAsia="Times New Roman"/>
                <w:sz w:val="20"/>
                <w:szCs w:val="20"/>
              </w:rPr>
              <w:t>*</w:t>
            </w:r>
            <w:r>
              <w:rPr>
                <w:rFonts w:eastAsia="Times New Roman"/>
                <w:sz w:val="20"/>
                <w:szCs w:val="20"/>
              </w:rPr>
              <w:t>*</w:t>
            </w:r>
          </w:p>
          <w:p w:rsidR="0012055B" w:rsidRDefault="0048392D">
            <w:pPr>
              <w:widowControl w:val="0"/>
              <w:jc w:val="center"/>
              <w:rPr>
                <w:rFonts w:eastAsia="Times New Roman"/>
                <w:sz w:val="20"/>
                <w:szCs w:val="20"/>
              </w:rPr>
            </w:pPr>
            <w:r>
              <w:rPr>
                <w:rFonts w:eastAsia="Times New Roman"/>
                <w:sz w:val="20"/>
                <w:szCs w:val="20"/>
              </w:rPr>
              <w:t>[.837, .994</w:t>
            </w:r>
            <w:r w:rsidR="004610A3">
              <w:rPr>
                <w:rFonts w:eastAsia="Times New Roman"/>
                <w:sz w:val="20"/>
                <w:szCs w:val="20"/>
              </w:rPr>
              <w:t>]</w:t>
            </w:r>
          </w:p>
        </w:tc>
      </w:tr>
      <w:tr w:rsidR="0012055B" w:rsidTr="00F52CD0">
        <w:trPr>
          <w:cnfStyle w:val="000000100000" w:firstRow="0" w:lastRow="0" w:firstColumn="0" w:lastColumn="0" w:oddVBand="0" w:evenVBand="0" w:oddHBand="1" w:evenHBand="0" w:firstRowFirstColumn="0" w:firstRowLastColumn="0" w:lastRowFirstColumn="0" w:lastRowLastColumn="0"/>
        </w:trPr>
        <w:tc>
          <w:tcPr>
            <w:tcW w:w="3120" w:type="dxa"/>
          </w:tcPr>
          <w:p w:rsidR="0012055B" w:rsidRDefault="004610A3">
            <w:pPr>
              <w:widowControl w:val="0"/>
              <w:rPr>
                <w:rFonts w:eastAsia="Times New Roman"/>
                <w:sz w:val="20"/>
                <w:szCs w:val="20"/>
              </w:rPr>
            </w:pPr>
            <w:r>
              <w:rPr>
                <w:rFonts w:eastAsia="Times New Roman"/>
                <w:sz w:val="20"/>
                <w:szCs w:val="20"/>
              </w:rPr>
              <w:t>State indicators?</w:t>
            </w:r>
          </w:p>
        </w:tc>
        <w:tc>
          <w:tcPr>
            <w:tcW w:w="3120" w:type="dxa"/>
          </w:tcPr>
          <w:p w:rsidR="0012055B" w:rsidRDefault="004610A3">
            <w:pPr>
              <w:widowControl w:val="0"/>
              <w:jc w:val="center"/>
              <w:rPr>
                <w:rFonts w:eastAsia="Times New Roman"/>
                <w:sz w:val="20"/>
                <w:szCs w:val="20"/>
              </w:rPr>
            </w:pPr>
            <w:r>
              <w:rPr>
                <w:rFonts w:eastAsia="Times New Roman"/>
                <w:sz w:val="20"/>
                <w:szCs w:val="20"/>
              </w:rPr>
              <w:t>No</w:t>
            </w:r>
          </w:p>
        </w:tc>
        <w:tc>
          <w:tcPr>
            <w:tcW w:w="3120" w:type="dxa"/>
          </w:tcPr>
          <w:p w:rsidR="0012055B" w:rsidRDefault="004610A3">
            <w:pPr>
              <w:widowControl w:val="0"/>
              <w:jc w:val="center"/>
              <w:rPr>
                <w:rFonts w:eastAsia="Times New Roman"/>
                <w:sz w:val="20"/>
                <w:szCs w:val="20"/>
              </w:rPr>
            </w:pPr>
            <w:r>
              <w:rPr>
                <w:rFonts w:eastAsia="Times New Roman"/>
                <w:sz w:val="20"/>
                <w:szCs w:val="20"/>
              </w:rPr>
              <w:t>Yes</w:t>
            </w:r>
          </w:p>
        </w:tc>
      </w:tr>
    </w:tbl>
    <w:p w:rsidR="0012055B" w:rsidRDefault="004610A3">
      <w:pPr>
        <w:rPr>
          <w:rFonts w:eastAsia="Times New Roman"/>
          <w:sz w:val="20"/>
          <w:szCs w:val="20"/>
        </w:rPr>
      </w:pPr>
      <w:r>
        <w:rPr>
          <w:rFonts w:eastAsia="Times New Roman"/>
          <w:sz w:val="20"/>
          <w:szCs w:val="20"/>
        </w:rPr>
        <w:t>Estimates are odds ratios. 95% Confidence Intervals indicated in brackets.</w:t>
      </w:r>
    </w:p>
    <w:p w:rsidR="0012055B" w:rsidRDefault="004610A3">
      <w:pPr>
        <w:rPr>
          <w:rFonts w:eastAsia="Times New Roman"/>
          <w:sz w:val="20"/>
          <w:szCs w:val="20"/>
        </w:rPr>
      </w:pPr>
      <w:r>
        <w:rPr>
          <w:rFonts w:eastAsia="Times New Roman"/>
          <w:sz w:val="20"/>
          <w:szCs w:val="20"/>
        </w:rPr>
        <w:t xml:space="preserve">* </w:t>
      </w:r>
      <w:r>
        <w:rPr>
          <w:rFonts w:eastAsia="Times New Roman"/>
          <w:i/>
          <w:sz w:val="20"/>
          <w:szCs w:val="20"/>
        </w:rPr>
        <w:t>p</w:t>
      </w:r>
      <w:r>
        <w:rPr>
          <w:rFonts w:eastAsia="Times New Roman"/>
          <w:sz w:val="20"/>
          <w:szCs w:val="20"/>
        </w:rPr>
        <w:t xml:space="preserve"> &lt; .10   **</w:t>
      </w:r>
      <w:r>
        <w:rPr>
          <w:rFonts w:eastAsia="Times New Roman"/>
          <w:i/>
          <w:sz w:val="20"/>
          <w:szCs w:val="20"/>
        </w:rPr>
        <w:t>p</w:t>
      </w:r>
      <w:r>
        <w:rPr>
          <w:rFonts w:eastAsia="Times New Roman"/>
          <w:sz w:val="20"/>
          <w:szCs w:val="20"/>
        </w:rPr>
        <w:t xml:space="preserve"> &lt; .05</w:t>
      </w:r>
    </w:p>
    <w:p w:rsidR="0012055B" w:rsidRPr="00701078" w:rsidRDefault="0012055B">
      <w:pPr>
        <w:rPr>
          <w:rFonts w:eastAsia="Times New Roman"/>
          <w:sz w:val="20"/>
          <w:szCs w:val="20"/>
        </w:rPr>
      </w:pPr>
    </w:p>
    <w:p w:rsidR="0012055B" w:rsidRDefault="00C61DB0">
      <w:pPr>
        <w:rPr>
          <w:rFonts w:eastAsia="Times New Roman"/>
          <w:b/>
          <w:sz w:val="20"/>
          <w:szCs w:val="20"/>
        </w:rPr>
      </w:pPr>
      <w:r>
        <w:rPr>
          <w:rFonts w:eastAsia="Times New Roman"/>
          <w:b/>
          <w:sz w:val="20"/>
          <w:szCs w:val="20"/>
        </w:rPr>
        <w:t>Table 5</w:t>
      </w:r>
    </w:p>
    <w:p w:rsidR="0012055B" w:rsidRDefault="004610A3">
      <w:pPr>
        <w:rPr>
          <w:rFonts w:eastAsia="Times New Roman"/>
          <w:sz w:val="20"/>
          <w:szCs w:val="20"/>
        </w:rPr>
      </w:pPr>
      <w:r>
        <w:rPr>
          <w:rFonts w:eastAsia="Times New Roman"/>
          <w:sz w:val="20"/>
          <w:szCs w:val="20"/>
        </w:rPr>
        <w:t>Consequences of MLSA laws: Probability respondent smoked in past 30 days</w:t>
      </w:r>
    </w:p>
    <w:tbl>
      <w:tblPr>
        <w:tblStyle w:val="ListTable4-Accent1"/>
        <w:tblW w:w="9360" w:type="dxa"/>
        <w:tblLayout w:type="fixed"/>
        <w:tblLook w:val="0400" w:firstRow="0" w:lastRow="0" w:firstColumn="0" w:lastColumn="0" w:noHBand="0" w:noVBand="1"/>
      </w:tblPr>
      <w:tblGrid>
        <w:gridCol w:w="1872"/>
        <w:gridCol w:w="1872"/>
        <w:gridCol w:w="1872"/>
        <w:gridCol w:w="1872"/>
        <w:gridCol w:w="1872"/>
      </w:tblGrid>
      <w:tr w:rsidR="0012055B" w:rsidTr="00F52CD0">
        <w:trPr>
          <w:cnfStyle w:val="000000100000" w:firstRow="0" w:lastRow="0" w:firstColumn="0" w:lastColumn="0" w:oddVBand="0" w:evenVBand="0" w:oddHBand="1" w:evenHBand="0" w:firstRowFirstColumn="0" w:firstRowLastColumn="0" w:lastRowFirstColumn="0" w:lastRowLastColumn="0"/>
        </w:trPr>
        <w:tc>
          <w:tcPr>
            <w:tcW w:w="1872" w:type="dxa"/>
          </w:tcPr>
          <w:p w:rsidR="0012055B" w:rsidRDefault="00681126">
            <w:pPr>
              <w:widowControl w:val="0"/>
              <w:rPr>
                <w:rFonts w:eastAsia="Times New Roman"/>
                <w:sz w:val="20"/>
                <w:szCs w:val="20"/>
              </w:rPr>
            </w:pPr>
            <w:r>
              <w:rPr>
                <w:rFonts w:eastAsia="Times New Roman"/>
                <w:sz w:val="20"/>
                <w:szCs w:val="20"/>
              </w:rPr>
              <w:t>Model Iteration</w:t>
            </w:r>
          </w:p>
        </w:tc>
        <w:tc>
          <w:tcPr>
            <w:tcW w:w="1872" w:type="dxa"/>
          </w:tcPr>
          <w:p w:rsidR="0012055B" w:rsidRDefault="004610A3">
            <w:pPr>
              <w:widowControl w:val="0"/>
              <w:jc w:val="center"/>
              <w:rPr>
                <w:rFonts w:eastAsia="Times New Roman"/>
                <w:sz w:val="20"/>
                <w:szCs w:val="20"/>
              </w:rPr>
            </w:pPr>
            <w:r>
              <w:rPr>
                <w:rFonts w:eastAsia="Times New Roman"/>
                <w:sz w:val="20"/>
                <w:szCs w:val="20"/>
              </w:rPr>
              <w:t>1</w:t>
            </w:r>
          </w:p>
        </w:tc>
        <w:tc>
          <w:tcPr>
            <w:tcW w:w="1872" w:type="dxa"/>
          </w:tcPr>
          <w:p w:rsidR="0012055B" w:rsidRDefault="004610A3">
            <w:pPr>
              <w:widowControl w:val="0"/>
              <w:jc w:val="center"/>
              <w:rPr>
                <w:rFonts w:eastAsia="Times New Roman"/>
                <w:sz w:val="20"/>
                <w:szCs w:val="20"/>
              </w:rPr>
            </w:pPr>
            <w:r>
              <w:rPr>
                <w:rFonts w:eastAsia="Times New Roman"/>
                <w:sz w:val="20"/>
                <w:szCs w:val="20"/>
              </w:rPr>
              <w:t>2</w:t>
            </w:r>
          </w:p>
        </w:tc>
        <w:tc>
          <w:tcPr>
            <w:tcW w:w="1872" w:type="dxa"/>
          </w:tcPr>
          <w:p w:rsidR="0012055B" w:rsidRDefault="004610A3">
            <w:pPr>
              <w:widowControl w:val="0"/>
              <w:jc w:val="center"/>
              <w:rPr>
                <w:rFonts w:eastAsia="Times New Roman"/>
                <w:sz w:val="20"/>
                <w:szCs w:val="20"/>
              </w:rPr>
            </w:pPr>
            <w:r>
              <w:rPr>
                <w:rFonts w:eastAsia="Times New Roman"/>
                <w:sz w:val="20"/>
                <w:szCs w:val="20"/>
              </w:rPr>
              <w:t>3</w:t>
            </w:r>
          </w:p>
        </w:tc>
        <w:tc>
          <w:tcPr>
            <w:tcW w:w="1872" w:type="dxa"/>
          </w:tcPr>
          <w:p w:rsidR="0012055B" w:rsidRDefault="004610A3">
            <w:pPr>
              <w:widowControl w:val="0"/>
              <w:jc w:val="center"/>
              <w:rPr>
                <w:rFonts w:eastAsia="Times New Roman"/>
                <w:sz w:val="20"/>
                <w:szCs w:val="20"/>
              </w:rPr>
            </w:pPr>
            <w:r>
              <w:rPr>
                <w:rFonts w:eastAsia="Times New Roman"/>
                <w:sz w:val="20"/>
                <w:szCs w:val="20"/>
              </w:rPr>
              <w:t>4</w:t>
            </w:r>
          </w:p>
        </w:tc>
      </w:tr>
      <w:tr w:rsidR="0012055B" w:rsidTr="00F52CD0">
        <w:tc>
          <w:tcPr>
            <w:tcW w:w="1872" w:type="dxa"/>
          </w:tcPr>
          <w:p w:rsidR="0012055B" w:rsidRDefault="004610A3">
            <w:pPr>
              <w:widowControl w:val="0"/>
              <w:rPr>
                <w:rFonts w:eastAsia="Times New Roman"/>
                <w:sz w:val="20"/>
                <w:szCs w:val="20"/>
              </w:rPr>
            </w:pPr>
            <w:r>
              <w:rPr>
                <w:rFonts w:eastAsia="Times New Roman"/>
                <w:sz w:val="20"/>
                <w:szCs w:val="20"/>
              </w:rPr>
              <w:t>MLSA</w:t>
            </w:r>
          </w:p>
        </w:tc>
        <w:tc>
          <w:tcPr>
            <w:tcW w:w="1872" w:type="dxa"/>
          </w:tcPr>
          <w:p w:rsidR="0012055B" w:rsidRDefault="004610A3">
            <w:pPr>
              <w:widowControl w:val="0"/>
              <w:jc w:val="center"/>
              <w:rPr>
                <w:rFonts w:eastAsia="Times New Roman"/>
                <w:sz w:val="20"/>
                <w:szCs w:val="20"/>
              </w:rPr>
            </w:pPr>
            <w:r>
              <w:rPr>
                <w:rFonts w:eastAsia="Times New Roman"/>
                <w:sz w:val="20"/>
                <w:szCs w:val="20"/>
              </w:rPr>
              <w:t>.887**</w:t>
            </w:r>
          </w:p>
          <w:p w:rsidR="0012055B" w:rsidRDefault="004610A3">
            <w:pPr>
              <w:widowControl w:val="0"/>
              <w:jc w:val="center"/>
              <w:rPr>
                <w:rFonts w:eastAsia="Times New Roman"/>
                <w:sz w:val="20"/>
                <w:szCs w:val="20"/>
              </w:rPr>
            </w:pPr>
            <w:r>
              <w:rPr>
                <w:rFonts w:eastAsia="Times New Roman"/>
                <w:sz w:val="20"/>
                <w:szCs w:val="20"/>
              </w:rPr>
              <w:t>[.843, .933]</w:t>
            </w:r>
          </w:p>
        </w:tc>
        <w:tc>
          <w:tcPr>
            <w:tcW w:w="1872" w:type="dxa"/>
          </w:tcPr>
          <w:p w:rsidR="0012055B" w:rsidRDefault="004610A3">
            <w:pPr>
              <w:widowControl w:val="0"/>
              <w:jc w:val="center"/>
              <w:rPr>
                <w:rFonts w:eastAsia="Times New Roman"/>
                <w:sz w:val="20"/>
                <w:szCs w:val="20"/>
              </w:rPr>
            </w:pPr>
            <w:r>
              <w:rPr>
                <w:rFonts w:eastAsia="Times New Roman"/>
                <w:sz w:val="20"/>
                <w:szCs w:val="20"/>
              </w:rPr>
              <w:t>1.02</w:t>
            </w:r>
          </w:p>
          <w:p w:rsidR="0012055B" w:rsidRDefault="004610A3">
            <w:pPr>
              <w:widowControl w:val="0"/>
              <w:jc w:val="center"/>
              <w:rPr>
                <w:rFonts w:eastAsia="Times New Roman"/>
                <w:sz w:val="20"/>
                <w:szCs w:val="20"/>
              </w:rPr>
            </w:pPr>
            <w:r>
              <w:rPr>
                <w:rFonts w:eastAsia="Times New Roman"/>
                <w:sz w:val="20"/>
                <w:szCs w:val="20"/>
              </w:rPr>
              <w:t>[.949, 1.11]</w:t>
            </w:r>
          </w:p>
        </w:tc>
        <w:tc>
          <w:tcPr>
            <w:tcW w:w="1872" w:type="dxa"/>
          </w:tcPr>
          <w:p w:rsidR="0012055B" w:rsidRDefault="004610A3">
            <w:pPr>
              <w:widowControl w:val="0"/>
              <w:jc w:val="center"/>
              <w:rPr>
                <w:rFonts w:eastAsia="Times New Roman"/>
                <w:sz w:val="20"/>
                <w:szCs w:val="20"/>
              </w:rPr>
            </w:pPr>
            <w:r>
              <w:rPr>
                <w:rFonts w:eastAsia="Times New Roman"/>
                <w:sz w:val="20"/>
                <w:szCs w:val="20"/>
              </w:rPr>
              <w:t>1.06</w:t>
            </w:r>
          </w:p>
          <w:p w:rsidR="0012055B" w:rsidRDefault="004610A3">
            <w:pPr>
              <w:widowControl w:val="0"/>
              <w:jc w:val="center"/>
              <w:rPr>
                <w:rFonts w:eastAsia="Times New Roman"/>
                <w:sz w:val="20"/>
                <w:szCs w:val="20"/>
              </w:rPr>
            </w:pPr>
            <w:r>
              <w:rPr>
                <w:rFonts w:eastAsia="Times New Roman"/>
                <w:sz w:val="20"/>
                <w:szCs w:val="20"/>
              </w:rPr>
              <w:t>[.972, 1.15]</w:t>
            </w:r>
          </w:p>
        </w:tc>
        <w:tc>
          <w:tcPr>
            <w:tcW w:w="1872" w:type="dxa"/>
          </w:tcPr>
          <w:p w:rsidR="0012055B" w:rsidRDefault="004610A3">
            <w:pPr>
              <w:widowControl w:val="0"/>
              <w:jc w:val="center"/>
              <w:rPr>
                <w:rFonts w:eastAsia="Times New Roman"/>
                <w:sz w:val="20"/>
                <w:szCs w:val="20"/>
              </w:rPr>
            </w:pPr>
            <w:r>
              <w:rPr>
                <w:rFonts w:eastAsia="Times New Roman"/>
                <w:sz w:val="20"/>
                <w:szCs w:val="20"/>
              </w:rPr>
              <w:t>1.12</w:t>
            </w:r>
          </w:p>
          <w:p w:rsidR="0012055B" w:rsidRDefault="004610A3">
            <w:pPr>
              <w:widowControl w:val="0"/>
              <w:jc w:val="center"/>
              <w:rPr>
                <w:rFonts w:eastAsia="Times New Roman"/>
                <w:sz w:val="20"/>
                <w:szCs w:val="20"/>
              </w:rPr>
            </w:pPr>
            <w:r>
              <w:rPr>
                <w:rFonts w:eastAsia="Times New Roman"/>
                <w:sz w:val="20"/>
                <w:szCs w:val="20"/>
              </w:rPr>
              <w:t>[.976, 1.28]</w:t>
            </w:r>
          </w:p>
        </w:tc>
      </w:tr>
      <w:tr w:rsidR="0012055B" w:rsidTr="00F52CD0">
        <w:trPr>
          <w:cnfStyle w:val="000000100000" w:firstRow="0" w:lastRow="0" w:firstColumn="0" w:lastColumn="0" w:oddVBand="0" w:evenVBand="0" w:oddHBand="1" w:evenHBand="0" w:firstRowFirstColumn="0" w:firstRowLastColumn="0" w:lastRowFirstColumn="0" w:lastRowLastColumn="0"/>
        </w:trPr>
        <w:tc>
          <w:tcPr>
            <w:tcW w:w="1872" w:type="dxa"/>
          </w:tcPr>
          <w:p w:rsidR="0012055B" w:rsidRDefault="004610A3">
            <w:pPr>
              <w:widowControl w:val="0"/>
              <w:rPr>
                <w:rFonts w:eastAsia="Times New Roman"/>
                <w:sz w:val="20"/>
                <w:szCs w:val="20"/>
              </w:rPr>
            </w:pPr>
            <w:r>
              <w:rPr>
                <w:rFonts w:eastAsia="Times New Roman"/>
                <w:sz w:val="20"/>
                <w:szCs w:val="20"/>
              </w:rPr>
              <w:t>ENDS use, binary</w:t>
            </w:r>
          </w:p>
        </w:tc>
        <w:tc>
          <w:tcPr>
            <w:tcW w:w="1872" w:type="dxa"/>
          </w:tcPr>
          <w:p w:rsidR="0012055B" w:rsidRDefault="004610A3">
            <w:pPr>
              <w:widowControl w:val="0"/>
              <w:jc w:val="center"/>
              <w:rPr>
                <w:rFonts w:eastAsia="Times New Roman"/>
                <w:sz w:val="20"/>
                <w:szCs w:val="20"/>
              </w:rPr>
            </w:pPr>
            <w:r>
              <w:rPr>
                <w:rFonts w:eastAsia="Times New Roman"/>
                <w:sz w:val="20"/>
                <w:szCs w:val="20"/>
              </w:rPr>
              <w:t>—</w:t>
            </w:r>
          </w:p>
        </w:tc>
        <w:tc>
          <w:tcPr>
            <w:tcW w:w="1872" w:type="dxa"/>
          </w:tcPr>
          <w:p w:rsidR="0012055B" w:rsidRDefault="004610A3">
            <w:pPr>
              <w:widowControl w:val="0"/>
              <w:jc w:val="center"/>
              <w:rPr>
                <w:rFonts w:eastAsia="Times New Roman"/>
                <w:sz w:val="20"/>
                <w:szCs w:val="20"/>
              </w:rPr>
            </w:pPr>
            <w:r>
              <w:rPr>
                <w:rFonts w:eastAsia="Times New Roman"/>
                <w:sz w:val="20"/>
                <w:szCs w:val="20"/>
              </w:rPr>
              <w:t>—</w:t>
            </w:r>
          </w:p>
        </w:tc>
        <w:tc>
          <w:tcPr>
            <w:tcW w:w="1872" w:type="dxa"/>
          </w:tcPr>
          <w:p w:rsidR="0012055B" w:rsidRDefault="004610A3">
            <w:pPr>
              <w:widowControl w:val="0"/>
              <w:jc w:val="center"/>
              <w:rPr>
                <w:rFonts w:eastAsia="Times New Roman"/>
                <w:sz w:val="20"/>
                <w:szCs w:val="20"/>
              </w:rPr>
            </w:pPr>
            <w:r>
              <w:rPr>
                <w:rFonts w:eastAsia="Times New Roman"/>
                <w:sz w:val="20"/>
                <w:szCs w:val="20"/>
              </w:rPr>
              <w:t>14.3**</w:t>
            </w:r>
          </w:p>
          <w:p w:rsidR="0012055B" w:rsidRDefault="004610A3">
            <w:pPr>
              <w:widowControl w:val="0"/>
              <w:jc w:val="center"/>
              <w:rPr>
                <w:rFonts w:eastAsia="Times New Roman"/>
                <w:sz w:val="20"/>
                <w:szCs w:val="20"/>
              </w:rPr>
            </w:pPr>
            <w:r>
              <w:rPr>
                <w:rFonts w:eastAsia="Times New Roman"/>
                <w:sz w:val="20"/>
                <w:szCs w:val="20"/>
              </w:rPr>
              <w:t>[13.5, 15.2]</w:t>
            </w:r>
          </w:p>
        </w:tc>
        <w:tc>
          <w:tcPr>
            <w:tcW w:w="1872" w:type="dxa"/>
          </w:tcPr>
          <w:p w:rsidR="0012055B" w:rsidRDefault="004610A3">
            <w:pPr>
              <w:widowControl w:val="0"/>
              <w:jc w:val="center"/>
              <w:rPr>
                <w:rFonts w:eastAsia="Times New Roman"/>
                <w:sz w:val="20"/>
                <w:szCs w:val="20"/>
              </w:rPr>
            </w:pPr>
            <w:r>
              <w:rPr>
                <w:rFonts w:eastAsia="Times New Roman"/>
                <w:sz w:val="20"/>
                <w:szCs w:val="20"/>
              </w:rPr>
              <w:t>—</w:t>
            </w:r>
          </w:p>
        </w:tc>
      </w:tr>
      <w:tr w:rsidR="0012055B" w:rsidTr="00F52CD0">
        <w:tc>
          <w:tcPr>
            <w:tcW w:w="1872" w:type="dxa"/>
          </w:tcPr>
          <w:p w:rsidR="0012055B" w:rsidRDefault="004610A3">
            <w:pPr>
              <w:widowControl w:val="0"/>
              <w:rPr>
                <w:rFonts w:eastAsia="Times New Roman"/>
                <w:sz w:val="20"/>
                <w:szCs w:val="20"/>
              </w:rPr>
            </w:pPr>
            <w:r>
              <w:rPr>
                <w:rFonts w:eastAsia="Times New Roman"/>
                <w:sz w:val="20"/>
                <w:szCs w:val="20"/>
              </w:rPr>
              <w:t>ENDS use, category</w:t>
            </w:r>
          </w:p>
        </w:tc>
        <w:tc>
          <w:tcPr>
            <w:tcW w:w="1872" w:type="dxa"/>
          </w:tcPr>
          <w:p w:rsidR="0012055B" w:rsidRDefault="004610A3">
            <w:pPr>
              <w:widowControl w:val="0"/>
              <w:jc w:val="center"/>
              <w:rPr>
                <w:rFonts w:eastAsia="Times New Roman"/>
                <w:sz w:val="20"/>
                <w:szCs w:val="20"/>
              </w:rPr>
            </w:pPr>
            <w:r>
              <w:rPr>
                <w:rFonts w:eastAsia="Times New Roman"/>
                <w:sz w:val="20"/>
                <w:szCs w:val="20"/>
              </w:rPr>
              <w:t>—</w:t>
            </w:r>
          </w:p>
        </w:tc>
        <w:tc>
          <w:tcPr>
            <w:tcW w:w="1872" w:type="dxa"/>
          </w:tcPr>
          <w:p w:rsidR="0012055B" w:rsidRDefault="004610A3">
            <w:pPr>
              <w:widowControl w:val="0"/>
              <w:jc w:val="center"/>
              <w:rPr>
                <w:rFonts w:eastAsia="Times New Roman"/>
                <w:sz w:val="20"/>
                <w:szCs w:val="20"/>
              </w:rPr>
            </w:pPr>
            <w:r>
              <w:rPr>
                <w:rFonts w:eastAsia="Times New Roman"/>
                <w:sz w:val="20"/>
                <w:szCs w:val="20"/>
              </w:rPr>
              <w:t>—</w:t>
            </w:r>
          </w:p>
        </w:tc>
        <w:tc>
          <w:tcPr>
            <w:tcW w:w="1872" w:type="dxa"/>
          </w:tcPr>
          <w:p w:rsidR="0012055B" w:rsidRDefault="004610A3">
            <w:pPr>
              <w:widowControl w:val="0"/>
              <w:jc w:val="center"/>
              <w:rPr>
                <w:rFonts w:eastAsia="Times New Roman"/>
                <w:sz w:val="20"/>
                <w:szCs w:val="20"/>
              </w:rPr>
            </w:pPr>
            <w:r>
              <w:rPr>
                <w:rFonts w:eastAsia="Times New Roman"/>
                <w:sz w:val="20"/>
                <w:szCs w:val="20"/>
              </w:rPr>
              <w:t>—</w:t>
            </w:r>
          </w:p>
        </w:tc>
        <w:tc>
          <w:tcPr>
            <w:tcW w:w="1872" w:type="dxa"/>
          </w:tcPr>
          <w:p w:rsidR="0012055B" w:rsidRDefault="004610A3" w:rsidP="00CC6B97">
            <w:pPr>
              <w:widowControl w:val="0"/>
              <w:jc w:val="center"/>
              <w:rPr>
                <w:rFonts w:eastAsia="Times New Roman"/>
                <w:sz w:val="20"/>
                <w:szCs w:val="20"/>
              </w:rPr>
            </w:pPr>
            <w:r>
              <w:rPr>
                <w:rFonts w:eastAsia="Times New Roman"/>
                <w:sz w:val="20"/>
                <w:szCs w:val="20"/>
              </w:rPr>
              <w:t>Ranges from 6 to 40</w:t>
            </w:r>
          </w:p>
        </w:tc>
      </w:tr>
      <w:tr w:rsidR="0012055B" w:rsidTr="00F52CD0">
        <w:trPr>
          <w:cnfStyle w:val="000000100000" w:firstRow="0" w:lastRow="0" w:firstColumn="0" w:lastColumn="0" w:oddVBand="0" w:evenVBand="0" w:oddHBand="1" w:evenHBand="0" w:firstRowFirstColumn="0" w:firstRowLastColumn="0" w:lastRowFirstColumn="0" w:lastRowLastColumn="0"/>
        </w:trPr>
        <w:tc>
          <w:tcPr>
            <w:tcW w:w="1872" w:type="dxa"/>
          </w:tcPr>
          <w:p w:rsidR="0012055B" w:rsidRDefault="004610A3">
            <w:pPr>
              <w:widowControl w:val="0"/>
              <w:rPr>
                <w:rFonts w:eastAsia="Times New Roman"/>
                <w:sz w:val="20"/>
                <w:szCs w:val="20"/>
              </w:rPr>
            </w:pPr>
            <w:r>
              <w:rPr>
                <w:rFonts w:eastAsia="Times New Roman"/>
                <w:sz w:val="20"/>
                <w:szCs w:val="20"/>
              </w:rPr>
              <w:t>State indicators?</w:t>
            </w:r>
          </w:p>
        </w:tc>
        <w:tc>
          <w:tcPr>
            <w:tcW w:w="1872" w:type="dxa"/>
          </w:tcPr>
          <w:p w:rsidR="0012055B" w:rsidRDefault="004610A3">
            <w:pPr>
              <w:widowControl w:val="0"/>
              <w:jc w:val="center"/>
              <w:rPr>
                <w:rFonts w:eastAsia="Times New Roman"/>
                <w:sz w:val="20"/>
                <w:szCs w:val="20"/>
              </w:rPr>
            </w:pPr>
            <w:r>
              <w:rPr>
                <w:rFonts w:eastAsia="Times New Roman"/>
                <w:sz w:val="20"/>
                <w:szCs w:val="20"/>
              </w:rPr>
              <w:t>No</w:t>
            </w:r>
          </w:p>
        </w:tc>
        <w:tc>
          <w:tcPr>
            <w:tcW w:w="1872" w:type="dxa"/>
          </w:tcPr>
          <w:p w:rsidR="0012055B" w:rsidRDefault="004610A3">
            <w:pPr>
              <w:widowControl w:val="0"/>
              <w:jc w:val="center"/>
              <w:rPr>
                <w:rFonts w:eastAsia="Times New Roman"/>
                <w:sz w:val="20"/>
                <w:szCs w:val="20"/>
              </w:rPr>
            </w:pPr>
            <w:r>
              <w:rPr>
                <w:rFonts w:eastAsia="Times New Roman"/>
                <w:sz w:val="20"/>
                <w:szCs w:val="20"/>
              </w:rPr>
              <w:t>Yes</w:t>
            </w:r>
          </w:p>
        </w:tc>
        <w:tc>
          <w:tcPr>
            <w:tcW w:w="1872" w:type="dxa"/>
          </w:tcPr>
          <w:p w:rsidR="0012055B" w:rsidRDefault="004610A3">
            <w:pPr>
              <w:widowControl w:val="0"/>
              <w:jc w:val="center"/>
              <w:rPr>
                <w:rFonts w:eastAsia="Times New Roman"/>
                <w:sz w:val="20"/>
                <w:szCs w:val="20"/>
              </w:rPr>
            </w:pPr>
            <w:r>
              <w:rPr>
                <w:rFonts w:eastAsia="Times New Roman"/>
                <w:sz w:val="20"/>
                <w:szCs w:val="20"/>
              </w:rPr>
              <w:t>Yes</w:t>
            </w:r>
          </w:p>
        </w:tc>
        <w:tc>
          <w:tcPr>
            <w:tcW w:w="1872" w:type="dxa"/>
          </w:tcPr>
          <w:p w:rsidR="0012055B" w:rsidRDefault="004610A3">
            <w:pPr>
              <w:widowControl w:val="0"/>
              <w:jc w:val="center"/>
              <w:rPr>
                <w:rFonts w:eastAsia="Times New Roman"/>
                <w:sz w:val="20"/>
                <w:szCs w:val="20"/>
              </w:rPr>
            </w:pPr>
            <w:r>
              <w:rPr>
                <w:rFonts w:eastAsia="Times New Roman"/>
                <w:sz w:val="20"/>
                <w:szCs w:val="20"/>
              </w:rPr>
              <w:t>Yes</w:t>
            </w:r>
          </w:p>
        </w:tc>
      </w:tr>
    </w:tbl>
    <w:p w:rsidR="0012055B" w:rsidRDefault="004610A3">
      <w:pPr>
        <w:rPr>
          <w:rFonts w:eastAsia="Times New Roman"/>
          <w:sz w:val="20"/>
          <w:szCs w:val="20"/>
        </w:rPr>
      </w:pPr>
      <w:r>
        <w:rPr>
          <w:rFonts w:eastAsia="Times New Roman"/>
          <w:sz w:val="20"/>
          <w:szCs w:val="20"/>
        </w:rPr>
        <w:t>Estimates are odds ratios. 95% Confidence Intervals indicated in brackets.</w:t>
      </w:r>
    </w:p>
    <w:p w:rsidR="0012055B" w:rsidRDefault="004610A3">
      <w:pPr>
        <w:rPr>
          <w:rFonts w:eastAsia="Times New Roman"/>
          <w:sz w:val="20"/>
          <w:szCs w:val="20"/>
        </w:rPr>
      </w:pPr>
      <w:r>
        <w:rPr>
          <w:rFonts w:eastAsia="Times New Roman"/>
          <w:sz w:val="20"/>
          <w:szCs w:val="20"/>
        </w:rPr>
        <w:t xml:space="preserve">* </w:t>
      </w:r>
      <w:r>
        <w:rPr>
          <w:rFonts w:eastAsia="Times New Roman"/>
          <w:i/>
          <w:sz w:val="20"/>
          <w:szCs w:val="20"/>
        </w:rPr>
        <w:t>p</w:t>
      </w:r>
      <w:r>
        <w:rPr>
          <w:rFonts w:eastAsia="Times New Roman"/>
          <w:sz w:val="20"/>
          <w:szCs w:val="20"/>
        </w:rPr>
        <w:t xml:space="preserve"> &lt; .10   **</w:t>
      </w:r>
      <w:r>
        <w:rPr>
          <w:rFonts w:eastAsia="Times New Roman"/>
          <w:i/>
          <w:sz w:val="20"/>
          <w:szCs w:val="20"/>
        </w:rPr>
        <w:t>p</w:t>
      </w:r>
      <w:r>
        <w:rPr>
          <w:rFonts w:eastAsia="Times New Roman"/>
          <w:sz w:val="20"/>
          <w:szCs w:val="20"/>
        </w:rPr>
        <w:t xml:space="preserve"> &lt; .05</w:t>
      </w:r>
    </w:p>
    <w:p w:rsidR="0012055B" w:rsidRPr="00701078" w:rsidRDefault="0012055B">
      <w:pPr>
        <w:rPr>
          <w:rFonts w:eastAsia="Times New Roman"/>
          <w:sz w:val="20"/>
          <w:szCs w:val="20"/>
        </w:rPr>
      </w:pPr>
    </w:p>
    <w:p w:rsidR="0012055B" w:rsidRDefault="00C61DB0">
      <w:pPr>
        <w:rPr>
          <w:rFonts w:eastAsia="Times New Roman"/>
          <w:b/>
          <w:sz w:val="20"/>
          <w:szCs w:val="20"/>
        </w:rPr>
      </w:pPr>
      <w:r>
        <w:rPr>
          <w:rFonts w:eastAsia="Times New Roman"/>
          <w:b/>
          <w:sz w:val="20"/>
          <w:szCs w:val="20"/>
        </w:rPr>
        <w:t>Table 6</w:t>
      </w:r>
    </w:p>
    <w:p w:rsidR="0012055B" w:rsidRDefault="004610A3">
      <w:pPr>
        <w:rPr>
          <w:rFonts w:eastAsia="Times New Roman"/>
          <w:sz w:val="20"/>
          <w:szCs w:val="20"/>
        </w:rPr>
      </w:pPr>
      <w:r>
        <w:rPr>
          <w:rFonts w:eastAsia="Times New Roman"/>
          <w:sz w:val="20"/>
          <w:szCs w:val="20"/>
        </w:rPr>
        <w:t>Consequences of SSDB laws: Probability respondent smoked in past 30 days</w:t>
      </w:r>
    </w:p>
    <w:tbl>
      <w:tblPr>
        <w:tblStyle w:val="ListTable4-Accent1"/>
        <w:tblW w:w="9360" w:type="dxa"/>
        <w:tblLayout w:type="fixed"/>
        <w:tblLook w:val="0400" w:firstRow="0" w:lastRow="0" w:firstColumn="0" w:lastColumn="0" w:noHBand="0" w:noVBand="1"/>
      </w:tblPr>
      <w:tblGrid>
        <w:gridCol w:w="1872"/>
        <w:gridCol w:w="1872"/>
        <w:gridCol w:w="1872"/>
        <w:gridCol w:w="1872"/>
        <w:gridCol w:w="1872"/>
      </w:tblGrid>
      <w:tr w:rsidR="0012055B" w:rsidTr="00F52CD0">
        <w:trPr>
          <w:cnfStyle w:val="000000100000" w:firstRow="0" w:lastRow="0" w:firstColumn="0" w:lastColumn="0" w:oddVBand="0" w:evenVBand="0" w:oddHBand="1" w:evenHBand="0" w:firstRowFirstColumn="0" w:firstRowLastColumn="0" w:lastRowFirstColumn="0" w:lastRowLastColumn="0"/>
        </w:trPr>
        <w:tc>
          <w:tcPr>
            <w:tcW w:w="1872" w:type="dxa"/>
          </w:tcPr>
          <w:p w:rsidR="0012055B" w:rsidRDefault="00681126">
            <w:pPr>
              <w:widowControl w:val="0"/>
              <w:rPr>
                <w:rFonts w:eastAsia="Times New Roman"/>
                <w:sz w:val="20"/>
                <w:szCs w:val="20"/>
              </w:rPr>
            </w:pPr>
            <w:r>
              <w:rPr>
                <w:rFonts w:eastAsia="Times New Roman"/>
                <w:sz w:val="20"/>
                <w:szCs w:val="20"/>
              </w:rPr>
              <w:lastRenderedPageBreak/>
              <w:t>Model Iteration</w:t>
            </w:r>
          </w:p>
        </w:tc>
        <w:tc>
          <w:tcPr>
            <w:tcW w:w="1872" w:type="dxa"/>
          </w:tcPr>
          <w:p w:rsidR="0012055B" w:rsidRDefault="004610A3">
            <w:pPr>
              <w:widowControl w:val="0"/>
              <w:jc w:val="center"/>
              <w:rPr>
                <w:rFonts w:eastAsia="Times New Roman"/>
                <w:sz w:val="20"/>
                <w:szCs w:val="20"/>
              </w:rPr>
            </w:pPr>
            <w:r>
              <w:rPr>
                <w:rFonts w:eastAsia="Times New Roman"/>
                <w:sz w:val="20"/>
                <w:szCs w:val="20"/>
              </w:rPr>
              <w:t>1</w:t>
            </w:r>
          </w:p>
        </w:tc>
        <w:tc>
          <w:tcPr>
            <w:tcW w:w="1872" w:type="dxa"/>
          </w:tcPr>
          <w:p w:rsidR="0012055B" w:rsidRDefault="004610A3">
            <w:pPr>
              <w:widowControl w:val="0"/>
              <w:jc w:val="center"/>
              <w:rPr>
                <w:rFonts w:eastAsia="Times New Roman"/>
                <w:sz w:val="20"/>
                <w:szCs w:val="20"/>
              </w:rPr>
            </w:pPr>
            <w:r>
              <w:rPr>
                <w:rFonts w:eastAsia="Times New Roman"/>
                <w:sz w:val="20"/>
                <w:szCs w:val="20"/>
              </w:rPr>
              <w:t>2</w:t>
            </w:r>
          </w:p>
        </w:tc>
        <w:tc>
          <w:tcPr>
            <w:tcW w:w="1872" w:type="dxa"/>
          </w:tcPr>
          <w:p w:rsidR="0012055B" w:rsidRDefault="004610A3">
            <w:pPr>
              <w:widowControl w:val="0"/>
              <w:jc w:val="center"/>
              <w:rPr>
                <w:rFonts w:eastAsia="Times New Roman"/>
                <w:sz w:val="20"/>
                <w:szCs w:val="20"/>
              </w:rPr>
            </w:pPr>
            <w:r>
              <w:rPr>
                <w:rFonts w:eastAsia="Times New Roman"/>
                <w:sz w:val="20"/>
                <w:szCs w:val="20"/>
              </w:rPr>
              <w:t>3</w:t>
            </w:r>
          </w:p>
        </w:tc>
        <w:tc>
          <w:tcPr>
            <w:tcW w:w="1872" w:type="dxa"/>
          </w:tcPr>
          <w:p w:rsidR="0012055B" w:rsidRDefault="004610A3">
            <w:pPr>
              <w:widowControl w:val="0"/>
              <w:jc w:val="center"/>
              <w:rPr>
                <w:rFonts w:eastAsia="Times New Roman"/>
                <w:sz w:val="20"/>
                <w:szCs w:val="20"/>
              </w:rPr>
            </w:pPr>
            <w:r>
              <w:rPr>
                <w:rFonts w:eastAsia="Times New Roman"/>
                <w:sz w:val="20"/>
                <w:szCs w:val="20"/>
              </w:rPr>
              <w:t>4</w:t>
            </w:r>
          </w:p>
        </w:tc>
      </w:tr>
      <w:tr w:rsidR="0012055B" w:rsidTr="00F52CD0">
        <w:tc>
          <w:tcPr>
            <w:tcW w:w="1872" w:type="dxa"/>
          </w:tcPr>
          <w:p w:rsidR="0012055B" w:rsidRDefault="004610A3">
            <w:pPr>
              <w:widowControl w:val="0"/>
              <w:rPr>
                <w:rFonts w:eastAsia="Times New Roman"/>
                <w:sz w:val="20"/>
                <w:szCs w:val="20"/>
              </w:rPr>
            </w:pPr>
            <w:r>
              <w:rPr>
                <w:rFonts w:eastAsia="Times New Roman"/>
                <w:sz w:val="20"/>
                <w:szCs w:val="20"/>
              </w:rPr>
              <w:t>SSDB</w:t>
            </w:r>
          </w:p>
        </w:tc>
        <w:tc>
          <w:tcPr>
            <w:tcW w:w="1872" w:type="dxa"/>
          </w:tcPr>
          <w:p w:rsidR="0012055B" w:rsidRDefault="007C442B">
            <w:pPr>
              <w:widowControl w:val="0"/>
              <w:jc w:val="center"/>
              <w:rPr>
                <w:rFonts w:eastAsia="Times New Roman"/>
                <w:sz w:val="20"/>
                <w:szCs w:val="20"/>
              </w:rPr>
            </w:pPr>
            <w:r>
              <w:rPr>
                <w:rFonts w:eastAsia="Times New Roman"/>
                <w:sz w:val="20"/>
                <w:szCs w:val="20"/>
              </w:rPr>
              <w:t>.955</w:t>
            </w:r>
          </w:p>
          <w:p w:rsidR="0012055B" w:rsidRDefault="007C442B">
            <w:pPr>
              <w:widowControl w:val="0"/>
              <w:jc w:val="center"/>
              <w:rPr>
                <w:rFonts w:eastAsia="Times New Roman"/>
                <w:sz w:val="20"/>
                <w:szCs w:val="20"/>
              </w:rPr>
            </w:pPr>
            <w:r>
              <w:rPr>
                <w:rFonts w:eastAsia="Times New Roman"/>
                <w:sz w:val="20"/>
                <w:szCs w:val="20"/>
              </w:rPr>
              <w:t>[.894, 1.02</w:t>
            </w:r>
            <w:r w:rsidR="004610A3">
              <w:rPr>
                <w:rFonts w:eastAsia="Times New Roman"/>
                <w:sz w:val="20"/>
                <w:szCs w:val="20"/>
              </w:rPr>
              <w:t>]</w:t>
            </w:r>
          </w:p>
        </w:tc>
        <w:tc>
          <w:tcPr>
            <w:tcW w:w="1872" w:type="dxa"/>
          </w:tcPr>
          <w:p w:rsidR="0012055B" w:rsidRDefault="007C442B">
            <w:pPr>
              <w:widowControl w:val="0"/>
              <w:jc w:val="center"/>
              <w:rPr>
                <w:rFonts w:eastAsia="Times New Roman"/>
                <w:sz w:val="20"/>
                <w:szCs w:val="20"/>
              </w:rPr>
            </w:pPr>
            <w:r>
              <w:rPr>
                <w:rFonts w:eastAsia="Times New Roman"/>
                <w:sz w:val="20"/>
                <w:szCs w:val="20"/>
              </w:rPr>
              <w:t>1.05</w:t>
            </w:r>
          </w:p>
          <w:p w:rsidR="0012055B" w:rsidRDefault="007C442B">
            <w:pPr>
              <w:widowControl w:val="0"/>
              <w:jc w:val="center"/>
              <w:rPr>
                <w:rFonts w:eastAsia="Times New Roman"/>
                <w:sz w:val="20"/>
                <w:szCs w:val="20"/>
              </w:rPr>
            </w:pPr>
            <w:r>
              <w:rPr>
                <w:rFonts w:eastAsia="Times New Roman"/>
                <w:sz w:val="20"/>
                <w:szCs w:val="20"/>
              </w:rPr>
              <w:t>[.966, 1.24</w:t>
            </w:r>
            <w:r w:rsidR="004610A3">
              <w:rPr>
                <w:rFonts w:eastAsia="Times New Roman"/>
                <w:sz w:val="20"/>
                <w:szCs w:val="20"/>
              </w:rPr>
              <w:t>]</w:t>
            </w:r>
          </w:p>
        </w:tc>
        <w:tc>
          <w:tcPr>
            <w:tcW w:w="1872" w:type="dxa"/>
          </w:tcPr>
          <w:p w:rsidR="0012055B" w:rsidRDefault="00DB05FD">
            <w:pPr>
              <w:widowControl w:val="0"/>
              <w:jc w:val="center"/>
              <w:rPr>
                <w:rFonts w:eastAsia="Times New Roman"/>
                <w:sz w:val="20"/>
                <w:szCs w:val="20"/>
              </w:rPr>
            </w:pPr>
            <w:r>
              <w:rPr>
                <w:rFonts w:eastAsia="Times New Roman"/>
                <w:sz w:val="20"/>
                <w:szCs w:val="20"/>
              </w:rPr>
              <w:t>1.06</w:t>
            </w:r>
          </w:p>
          <w:p w:rsidR="0012055B" w:rsidRDefault="00DB05FD">
            <w:pPr>
              <w:widowControl w:val="0"/>
              <w:jc w:val="center"/>
              <w:rPr>
                <w:rFonts w:eastAsia="Times New Roman"/>
                <w:sz w:val="20"/>
                <w:szCs w:val="20"/>
              </w:rPr>
            </w:pPr>
            <w:r>
              <w:rPr>
                <w:rFonts w:eastAsia="Times New Roman"/>
                <w:sz w:val="20"/>
                <w:szCs w:val="20"/>
              </w:rPr>
              <w:t>[.972, 1.16</w:t>
            </w:r>
            <w:r w:rsidR="004610A3">
              <w:rPr>
                <w:rFonts w:eastAsia="Times New Roman"/>
                <w:sz w:val="20"/>
                <w:szCs w:val="20"/>
              </w:rPr>
              <w:t>]</w:t>
            </w:r>
          </w:p>
        </w:tc>
        <w:tc>
          <w:tcPr>
            <w:tcW w:w="1872" w:type="dxa"/>
          </w:tcPr>
          <w:p w:rsidR="0012055B" w:rsidRDefault="00DB05FD">
            <w:pPr>
              <w:widowControl w:val="0"/>
              <w:jc w:val="center"/>
              <w:rPr>
                <w:rFonts w:eastAsia="Times New Roman"/>
                <w:sz w:val="20"/>
                <w:szCs w:val="20"/>
              </w:rPr>
            </w:pPr>
            <w:r>
              <w:rPr>
                <w:rFonts w:eastAsia="Times New Roman"/>
                <w:sz w:val="20"/>
                <w:szCs w:val="20"/>
              </w:rPr>
              <w:t>1.18**</w:t>
            </w:r>
          </w:p>
          <w:p w:rsidR="0012055B" w:rsidRDefault="00DB05FD" w:rsidP="00DB05FD">
            <w:pPr>
              <w:widowControl w:val="0"/>
              <w:jc w:val="center"/>
              <w:rPr>
                <w:rFonts w:eastAsia="Times New Roman"/>
                <w:sz w:val="20"/>
                <w:szCs w:val="20"/>
              </w:rPr>
            </w:pPr>
            <w:r>
              <w:rPr>
                <w:rFonts w:eastAsia="Times New Roman"/>
                <w:sz w:val="20"/>
                <w:szCs w:val="20"/>
              </w:rPr>
              <w:t>[1.04, 1.33</w:t>
            </w:r>
            <w:r w:rsidR="004610A3">
              <w:rPr>
                <w:rFonts w:eastAsia="Times New Roman"/>
                <w:sz w:val="20"/>
                <w:szCs w:val="20"/>
              </w:rPr>
              <w:t>]</w:t>
            </w:r>
          </w:p>
        </w:tc>
      </w:tr>
      <w:tr w:rsidR="0012055B" w:rsidTr="00F52CD0">
        <w:trPr>
          <w:cnfStyle w:val="000000100000" w:firstRow="0" w:lastRow="0" w:firstColumn="0" w:lastColumn="0" w:oddVBand="0" w:evenVBand="0" w:oddHBand="1" w:evenHBand="0" w:firstRowFirstColumn="0" w:firstRowLastColumn="0" w:lastRowFirstColumn="0" w:lastRowLastColumn="0"/>
        </w:trPr>
        <w:tc>
          <w:tcPr>
            <w:tcW w:w="1872" w:type="dxa"/>
          </w:tcPr>
          <w:p w:rsidR="0012055B" w:rsidRDefault="004610A3">
            <w:pPr>
              <w:widowControl w:val="0"/>
              <w:rPr>
                <w:rFonts w:eastAsia="Times New Roman"/>
                <w:sz w:val="20"/>
                <w:szCs w:val="20"/>
              </w:rPr>
            </w:pPr>
            <w:r>
              <w:rPr>
                <w:rFonts w:eastAsia="Times New Roman"/>
                <w:sz w:val="20"/>
                <w:szCs w:val="20"/>
              </w:rPr>
              <w:t>ENDS use, binary</w:t>
            </w:r>
          </w:p>
        </w:tc>
        <w:tc>
          <w:tcPr>
            <w:tcW w:w="1872" w:type="dxa"/>
          </w:tcPr>
          <w:p w:rsidR="0012055B" w:rsidRDefault="004610A3">
            <w:pPr>
              <w:widowControl w:val="0"/>
              <w:jc w:val="center"/>
              <w:rPr>
                <w:rFonts w:eastAsia="Times New Roman"/>
                <w:sz w:val="20"/>
                <w:szCs w:val="20"/>
              </w:rPr>
            </w:pPr>
            <w:r>
              <w:rPr>
                <w:rFonts w:eastAsia="Times New Roman"/>
                <w:sz w:val="20"/>
                <w:szCs w:val="20"/>
              </w:rPr>
              <w:t>—</w:t>
            </w:r>
          </w:p>
        </w:tc>
        <w:tc>
          <w:tcPr>
            <w:tcW w:w="1872" w:type="dxa"/>
          </w:tcPr>
          <w:p w:rsidR="0012055B" w:rsidRDefault="004610A3">
            <w:pPr>
              <w:widowControl w:val="0"/>
              <w:jc w:val="center"/>
              <w:rPr>
                <w:rFonts w:eastAsia="Times New Roman"/>
                <w:sz w:val="20"/>
                <w:szCs w:val="20"/>
              </w:rPr>
            </w:pPr>
            <w:r>
              <w:rPr>
                <w:rFonts w:eastAsia="Times New Roman"/>
                <w:sz w:val="20"/>
                <w:szCs w:val="20"/>
              </w:rPr>
              <w:t>—</w:t>
            </w:r>
          </w:p>
        </w:tc>
        <w:tc>
          <w:tcPr>
            <w:tcW w:w="1872" w:type="dxa"/>
          </w:tcPr>
          <w:p w:rsidR="0012055B" w:rsidRDefault="00DB05FD">
            <w:pPr>
              <w:widowControl w:val="0"/>
              <w:jc w:val="center"/>
              <w:rPr>
                <w:rFonts w:eastAsia="Times New Roman"/>
                <w:sz w:val="20"/>
                <w:szCs w:val="20"/>
              </w:rPr>
            </w:pPr>
            <w:r>
              <w:rPr>
                <w:rFonts w:eastAsia="Times New Roman"/>
                <w:sz w:val="20"/>
                <w:szCs w:val="20"/>
              </w:rPr>
              <w:t>13.5</w:t>
            </w:r>
            <w:r w:rsidR="004610A3">
              <w:rPr>
                <w:rFonts w:eastAsia="Times New Roman"/>
                <w:sz w:val="20"/>
                <w:szCs w:val="20"/>
              </w:rPr>
              <w:t>**</w:t>
            </w:r>
          </w:p>
          <w:p w:rsidR="00F52CD0" w:rsidRDefault="00DB05FD">
            <w:pPr>
              <w:widowControl w:val="0"/>
              <w:jc w:val="center"/>
              <w:rPr>
                <w:rFonts w:eastAsia="Times New Roman"/>
                <w:sz w:val="20"/>
                <w:szCs w:val="20"/>
              </w:rPr>
            </w:pPr>
            <w:r>
              <w:rPr>
                <w:rFonts w:eastAsia="Times New Roman"/>
                <w:sz w:val="20"/>
                <w:szCs w:val="20"/>
              </w:rPr>
              <w:t>[12.7</w:t>
            </w:r>
            <w:r w:rsidR="0092653A">
              <w:rPr>
                <w:rFonts w:eastAsia="Times New Roman"/>
                <w:sz w:val="20"/>
                <w:szCs w:val="20"/>
              </w:rPr>
              <w:t>,</w:t>
            </w:r>
            <w:r>
              <w:rPr>
                <w:rFonts w:eastAsia="Times New Roman"/>
                <w:sz w:val="20"/>
                <w:szCs w:val="20"/>
              </w:rPr>
              <w:t xml:space="preserve"> 14.2</w:t>
            </w:r>
            <w:r w:rsidR="0092653A">
              <w:rPr>
                <w:rFonts w:eastAsia="Times New Roman"/>
                <w:sz w:val="20"/>
                <w:szCs w:val="20"/>
              </w:rPr>
              <w:t>]</w:t>
            </w:r>
          </w:p>
        </w:tc>
        <w:tc>
          <w:tcPr>
            <w:tcW w:w="1872" w:type="dxa"/>
          </w:tcPr>
          <w:p w:rsidR="0012055B" w:rsidRDefault="004610A3">
            <w:pPr>
              <w:widowControl w:val="0"/>
              <w:jc w:val="center"/>
              <w:rPr>
                <w:rFonts w:eastAsia="Times New Roman"/>
                <w:sz w:val="20"/>
                <w:szCs w:val="20"/>
              </w:rPr>
            </w:pPr>
            <w:r>
              <w:rPr>
                <w:rFonts w:eastAsia="Times New Roman"/>
                <w:sz w:val="20"/>
                <w:szCs w:val="20"/>
              </w:rPr>
              <w:t>—</w:t>
            </w:r>
          </w:p>
        </w:tc>
      </w:tr>
      <w:tr w:rsidR="0012055B" w:rsidTr="00F52CD0">
        <w:tc>
          <w:tcPr>
            <w:tcW w:w="1872" w:type="dxa"/>
          </w:tcPr>
          <w:p w:rsidR="0012055B" w:rsidRDefault="004610A3">
            <w:pPr>
              <w:widowControl w:val="0"/>
              <w:rPr>
                <w:rFonts w:eastAsia="Times New Roman"/>
                <w:sz w:val="20"/>
                <w:szCs w:val="20"/>
              </w:rPr>
            </w:pPr>
            <w:r>
              <w:rPr>
                <w:rFonts w:eastAsia="Times New Roman"/>
                <w:sz w:val="20"/>
                <w:szCs w:val="20"/>
              </w:rPr>
              <w:t>ENDS use, category</w:t>
            </w:r>
          </w:p>
        </w:tc>
        <w:tc>
          <w:tcPr>
            <w:tcW w:w="1872" w:type="dxa"/>
          </w:tcPr>
          <w:p w:rsidR="0012055B" w:rsidRDefault="004610A3">
            <w:pPr>
              <w:widowControl w:val="0"/>
              <w:jc w:val="center"/>
              <w:rPr>
                <w:rFonts w:eastAsia="Times New Roman"/>
                <w:sz w:val="20"/>
                <w:szCs w:val="20"/>
              </w:rPr>
            </w:pPr>
            <w:r>
              <w:rPr>
                <w:rFonts w:eastAsia="Times New Roman"/>
                <w:sz w:val="20"/>
                <w:szCs w:val="20"/>
              </w:rPr>
              <w:t>—</w:t>
            </w:r>
          </w:p>
        </w:tc>
        <w:tc>
          <w:tcPr>
            <w:tcW w:w="1872" w:type="dxa"/>
          </w:tcPr>
          <w:p w:rsidR="0012055B" w:rsidRDefault="004610A3">
            <w:pPr>
              <w:widowControl w:val="0"/>
              <w:jc w:val="center"/>
              <w:rPr>
                <w:rFonts w:eastAsia="Times New Roman"/>
                <w:sz w:val="20"/>
                <w:szCs w:val="20"/>
              </w:rPr>
            </w:pPr>
            <w:r>
              <w:rPr>
                <w:rFonts w:eastAsia="Times New Roman"/>
                <w:sz w:val="20"/>
                <w:szCs w:val="20"/>
              </w:rPr>
              <w:t>—</w:t>
            </w:r>
          </w:p>
        </w:tc>
        <w:tc>
          <w:tcPr>
            <w:tcW w:w="1872" w:type="dxa"/>
          </w:tcPr>
          <w:p w:rsidR="0012055B" w:rsidRDefault="004610A3">
            <w:pPr>
              <w:widowControl w:val="0"/>
              <w:jc w:val="center"/>
              <w:rPr>
                <w:rFonts w:eastAsia="Times New Roman"/>
                <w:sz w:val="20"/>
                <w:szCs w:val="20"/>
              </w:rPr>
            </w:pPr>
            <w:r>
              <w:rPr>
                <w:rFonts w:eastAsia="Times New Roman"/>
                <w:sz w:val="20"/>
                <w:szCs w:val="20"/>
              </w:rPr>
              <w:t>—</w:t>
            </w:r>
          </w:p>
        </w:tc>
        <w:tc>
          <w:tcPr>
            <w:tcW w:w="1872" w:type="dxa"/>
          </w:tcPr>
          <w:p w:rsidR="0012055B" w:rsidRDefault="00606E58" w:rsidP="00CC6B97">
            <w:pPr>
              <w:widowControl w:val="0"/>
              <w:jc w:val="center"/>
              <w:rPr>
                <w:rFonts w:eastAsia="Times New Roman"/>
                <w:sz w:val="20"/>
                <w:szCs w:val="20"/>
              </w:rPr>
            </w:pPr>
            <w:r>
              <w:rPr>
                <w:rFonts w:eastAsia="Times New Roman"/>
                <w:sz w:val="20"/>
                <w:szCs w:val="20"/>
              </w:rPr>
              <w:t>Ranges from 7 to 4</w:t>
            </w:r>
            <w:r w:rsidR="00DB05FD">
              <w:rPr>
                <w:rFonts w:eastAsia="Times New Roman"/>
                <w:sz w:val="20"/>
                <w:szCs w:val="20"/>
              </w:rPr>
              <w:t>9</w:t>
            </w:r>
          </w:p>
        </w:tc>
      </w:tr>
      <w:tr w:rsidR="0012055B" w:rsidTr="00F52CD0">
        <w:trPr>
          <w:cnfStyle w:val="000000100000" w:firstRow="0" w:lastRow="0" w:firstColumn="0" w:lastColumn="0" w:oddVBand="0" w:evenVBand="0" w:oddHBand="1" w:evenHBand="0" w:firstRowFirstColumn="0" w:firstRowLastColumn="0" w:lastRowFirstColumn="0" w:lastRowLastColumn="0"/>
        </w:trPr>
        <w:tc>
          <w:tcPr>
            <w:tcW w:w="1872" w:type="dxa"/>
          </w:tcPr>
          <w:p w:rsidR="0012055B" w:rsidRDefault="004610A3">
            <w:pPr>
              <w:widowControl w:val="0"/>
              <w:rPr>
                <w:rFonts w:eastAsia="Times New Roman"/>
                <w:sz w:val="20"/>
                <w:szCs w:val="20"/>
              </w:rPr>
            </w:pPr>
            <w:r>
              <w:rPr>
                <w:rFonts w:eastAsia="Times New Roman"/>
                <w:sz w:val="20"/>
                <w:szCs w:val="20"/>
              </w:rPr>
              <w:t>State indicators?</w:t>
            </w:r>
          </w:p>
        </w:tc>
        <w:tc>
          <w:tcPr>
            <w:tcW w:w="1872" w:type="dxa"/>
          </w:tcPr>
          <w:p w:rsidR="0012055B" w:rsidRDefault="004610A3">
            <w:pPr>
              <w:widowControl w:val="0"/>
              <w:jc w:val="center"/>
              <w:rPr>
                <w:rFonts w:eastAsia="Times New Roman"/>
                <w:sz w:val="20"/>
                <w:szCs w:val="20"/>
              </w:rPr>
            </w:pPr>
            <w:r>
              <w:rPr>
                <w:rFonts w:eastAsia="Times New Roman"/>
                <w:sz w:val="20"/>
                <w:szCs w:val="20"/>
              </w:rPr>
              <w:t>No</w:t>
            </w:r>
          </w:p>
        </w:tc>
        <w:tc>
          <w:tcPr>
            <w:tcW w:w="1872" w:type="dxa"/>
          </w:tcPr>
          <w:p w:rsidR="0012055B" w:rsidRDefault="004610A3">
            <w:pPr>
              <w:widowControl w:val="0"/>
              <w:jc w:val="center"/>
              <w:rPr>
                <w:rFonts w:eastAsia="Times New Roman"/>
                <w:sz w:val="20"/>
                <w:szCs w:val="20"/>
              </w:rPr>
            </w:pPr>
            <w:r>
              <w:rPr>
                <w:rFonts w:eastAsia="Times New Roman"/>
                <w:sz w:val="20"/>
                <w:szCs w:val="20"/>
              </w:rPr>
              <w:t>Yes</w:t>
            </w:r>
          </w:p>
        </w:tc>
        <w:tc>
          <w:tcPr>
            <w:tcW w:w="1872" w:type="dxa"/>
          </w:tcPr>
          <w:p w:rsidR="0012055B" w:rsidRDefault="0001207D" w:rsidP="0001207D">
            <w:pPr>
              <w:widowControl w:val="0"/>
              <w:tabs>
                <w:tab w:val="left" w:pos="405"/>
                <w:tab w:val="center" w:pos="828"/>
              </w:tabs>
              <w:rPr>
                <w:rFonts w:eastAsia="Times New Roman"/>
                <w:sz w:val="20"/>
                <w:szCs w:val="20"/>
              </w:rPr>
            </w:pPr>
            <w:r>
              <w:rPr>
                <w:rFonts w:eastAsia="Times New Roman"/>
                <w:sz w:val="20"/>
                <w:szCs w:val="20"/>
              </w:rPr>
              <w:tab/>
            </w:r>
            <w:r>
              <w:rPr>
                <w:rFonts w:eastAsia="Times New Roman"/>
                <w:sz w:val="20"/>
                <w:szCs w:val="20"/>
              </w:rPr>
              <w:tab/>
            </w:r>
            <w:r w:rsidR="004610A3">
              <w:rPr>
                <w:rFonts w:eastAsia="Times New Roman"/>
                <w:sz w:val="20"/>
                <w:szCs w:val="20"/>
              </w:rPr>
              <w:t>Yes</w:t>
            </w:r>
          </w:p>
        </w:tc>
        <w:tc>
          <w:tcPr>
            <w:tcW w:w="1872" w:type="dxa"/>
          </w:tcPr>
          <w:p w:rsidR="0012055B" w:rsidRDefault="004610A3">
            <w:pPr>
              <w:widowControl w:val="0"/>
              <w:jc w:val="center"/>
              <w:rPr>
                <w:rFonts w:eastAsia="Times New Roman"/>
                <w:sz w:val="20"/>
                <w:szCs w:val="20"/>
              </w:rPr>
            </w:pPr>
            <w:r>
              <w:rPr>
                <w:rFonts w:eastAsia="Times New Roman"/>
                <w:sz w:val="20"/>
                <w:szCs w:val="20"/>
              </w:rPr>
              <w:t>Yes</w:t>
            </w:r>
          </w:p>
        </w:tc>
      </w:tr>
    </w:tbl>
    <w:p w:rsidR="0012055B" w:rsidRDefault="004610A3">
      <w:pPr>
        <w:rPr>
          <w:rFonts w:eastAsia="Times New Roman"/>
          <w:sz w:val="20"/>
          <w:szCs w:val="20"/>
        </w:rPr>
      </w:pPr>
      <w:r>
        <w:rPr>
          <w:rFonts w:eastAsia="Times New Roman"/>
          <w:sz w:val="20"/>
          <w:szCs w:val="20"/>
        </w:rPr>
        <w:t>Estimates are odds ratios. 95% Confidence Intervals indicated in brackets.</w:t>
      </w:r>
    </w:p>
    <w:p w:rsidR="0012055B" w:rsidRDefault="004610A3">
      <w:pPr>
        <w:rPr>
          <w:rFonts w:eastAsia="Times New Roman"/>
          <w:sz w:val="20"/>
          <w:szCs w:val="20"/>
        </w:rPr>
      </w:pPr>
      <w:r>
        <w:rPr>
          <w:rFonts w:eastAsia="Times New Roman"/>
          <w:sz w:val="20"/>
          <w:szCs w:val="20"/>
        </w:rPr>
        <w:t xml:space="preserve">* </w:t>
      </w:r>
      <w:r>
        <w:rPr>
          <w:rFonts w:eastAsia="Times New Roman"/>
          <w:i/>
          <w:sz w:val="20"/>
          <w:szCs w:val="20"/>
        </w:rPr>
        <w:t>p</w:t>
      </w:r>
      <w:r>
        <w:rPr>
          <w:rFonts w:eastAsia="Times New Roman"/>
          <w:sz w:val="20"/>
          <w:szCs w:val="20"/>
        </w:rPr>
        <w:t xml:space="preserve"> &lt; .10   **</w:t>
      </w:r>
      <w:r>
        <w:rPr>
          <w:rFonts w:eastAsia="Times New Roman"/>
          <w:i/>
          <w:sz w:val="20"/>
          <w:szCs w:val="20"/>
        </w:rPr>
        <w:t>p</w:t>
      </w:r>
      <w:r>
        <w:rPr>
          <w:rFonts w:eastAsia="Times New Roman"/>
          <w:sz w:val="20"/>
          <w:szCs w:val="20"/>
        </w:rPr>
        <w:t xml:space="preserve"> &lt; .05</w:t>
      </w:r>
    </w:p>
    <w:p w:rsidR="0012055B" w:rsidRDefault="0012055B">
      <w:pPr>
        <w:rPr>
          <w:rFonts w:eastAsia="Times New Roman"/>
        </w:rPr>
      </w:pPr>
    </w:p>
    <w:p w:rsidR="0012055B" w:rsidRDefault="004610A3" w:rsidP="00063513">
      <w:pPr>
        <w:spacing w:line="480" w:lineRule="auto"/>
        <w:rPr>
          <w:rFonts w:eastAsia="Times New Roman"/>
        </w:rPr>
      </w:pPr>
      <w:r>
        <w:rPr>
          <w:rFonts w:eastAsia="Times New Roman"/>
          <w:b/>
        </w:rPr>
        <w:t>Discussion</w:t>
      </w:r>
    </w:p>
    <w:p w:rsidR="0012055B" w:rsidRDefault="004610A3" w:rsidP="00063513">
      <w:pPr>
        <w:spacing w:line="480" w:lineRule="auto"/>
        <w:rPr>
          <w:rFonts w:eastAsia="Times New Roman"/>
        </w:rPr>
      </w:pPr>
      <w:r>
        <w:rPr>
          <w:rFonts w:eastAsia="Times New Roman"/>
        </w:rPr>
        <w:tab/>
        <w:t>The findings seem to support that the current program of the FDA in regards to ENDS regulation is indeed effective in reducing youth ENDS use</w:t>
      </w:r>
      <w:r w:rsidR="00FF3A14">
        <w:rPr>
          <w:rFonts w:eastAsia="Times New Roman"/>
        </w:rPr>
        <w:t>, corroborating the results</w:t>
      </w:r>
      <w:r>
        <w:rPr>
          <w:rFonts w:eastAsia="Times New Roman"/>
        </w:rPr>
        <w:t xml:space="preserve"> of Abouk and Abrams, </w:t>
      </w:r>
      <w:r w:rsidR="00D9133C">
        <w:rPr>
          <w:rFonts w:eastAsia="Times New Roman"/>
        </w:rPr>
        <w:t xml:space="preserve">and </w:t>
      </w:r>
      <w:r>
        <w:rPr>
          <w:rFonts w:eastAsia="Times New Roman"/>
        </w:rPr>
        <w:t>match</w:t>
      </w:r>
      <w:r w:rsidR="00FF3A14">
        <w:rPr>
          <w:rFonts w:eastAsia="Times New Roman"/>
        </w:rPr>
        <w:t>ing</w:t>
      </w:r>
      <w:r>
        <w:rPr>
          <w:rFonts w:eastAsia="Times New Roman"/>
        </w:rPr>
        <w:t xml:space="preserve"> the predictions of the law of demand. The results of the analysis o</w:t>
      </w:r>
      <w:r w:rsidR="00DB05FD">
        <w:rPr>
          <w:rFonts w:eastAsia="Times New Roman"/>
        </w:rPr>
        <w:t>f second order effects are mixed</w:t>
      </w:r>
      <w:r>
        <w:rPr>
          <w:rFonts w:eastAsia="Times New Roman"/>
        </w:rPr>
        <w:t xml:space="preserve">. My analysis established neither </w:t>
      </w:r>
      <w:r w:rsidR="00FF3A14">
        <w:rPr>
          <w:rFonts w:eastAsia="Times New Roman"/>
        </w:rPr>
        <w:t xml:space="preserve">clear </w:t>
      </w:r>
      <w:r>
        <w:rPr>
          <w:rFonts w:eastAsia="Times New Roman"/>
        </w:rPr>
        <w:t xml:space="preserve">substitutionability of ENDS and cigarettes (as found by Pesko et al. and Dave et al.) nor complementarity (as found by Abouk and Abrams). </w:t>
      </w:r>
      <w:r w:rsidR="00606E58">
        <w:rPr>
          <w:rFonts w:eastAsia="Times New Roman"/>
        </w:rPr>
        <w:t xml:space="preserve">Instead, the results seemed to depend significantly upon the methodology employed. It is possible that this could be the explanation for the mixed </w:t>
      </w:r>
      <w:r w:rsidR="00D7060E">
        <w:rPr>
          <w:rFonts w:eastAsia="Times New Roman"/>
        </w:rPr>
        <w:t xml:space="preserve">findings in the academic literature. </w:t>
      </w:r>
      <w:r w:rsidR="00606E58">
        <w:rPr>
          <w:rFonts w:eastAsia="Times New Roman"/>
        </w:rPr>
        <w:t xml:space="preserve"> </w:t>
      </w:r>
    </w:p>
    <w:p w:rsidR="0012055B" w:rsidRDefault="0012055B" w:rsidP="00063513">
      <w:pPr>
        <w:spacing w:line="480" w:lineRule="auto"/>
        <w:rPr>
          <w:rFonts w:eastAsia="Times New Roman"/>
        </w:rPr>
      </w:pPr>
    </w:p>
    <w:p w:rsidR="0012055B" w:rsidRDefault="004610A3" w:rsidP="00BD1615">
      <w:pPr>
        <w:spacing w:line="480" w:lineRule="auto"/>
        <w:rPr>
          <w:rFonts w:eastAsia="Times New Roman"/>
        </w:rPr>
      </w:pPr>
      <w:r>
        <w:rPr>
          <w:rFonts w:eastAsia="Times New Roman"/>
        </w:rPr>
        <w:tab/>
        <w:t xml:space="preserve">While the findings of this paper have limited utility in predicting the effect of flavor bans on youth ENDS use and smoking rates, the findings of this paper suggest that the FDA </w:t>
      </w:r>
      <w:r w:rsidR="005A6B37">
        <w:rPr>
          <w:rFonts w:eastAsia="Times New Roman"/>
        </w:rPr>
        <w:t xml:space="preserve">should take reasonable caution when pursuing further regulation of ENDS use. </w:t>
      </w:r>
      <w:r w:rsidR="00D7060E">
        <w:rPr>
          <w:rFonts w:eastAsia="Times New Roman"/>
        </w:rPr>
        <w:t xml:space="preserve">A harm reduction strategy should take serious consideration of the fact that </w:t>
      </w:r>
      <w:r w:rsidR="009E046C">
        <w:rPr>
          <w:rFonts w:eastAsia="Times New Roman"/>
        </w:rPr>
        <w:t>while ENDS are not without harm to adolescents,</w:t>
      </w:r>
      <w:r w:rsidR="00BE657E">
        <w:rPr>
          <w:rFonts w:eastAsia="Times New Roman"/>
        </w:rPr>
        <w:t xml:space="preserve"> recent studies suggest that ENDS are at least 95% safer than conventional cigarettes, and law many of the harmful carcinogenic ingredients</w:t>
      </w:r>
      <w:r w:rsidR="00BE657E">
        <w:rPr>
          <w:rStyle w:val="EndnoteReference"/>
          <w:rFonts w:eastAsia="Times New Roman"/>
        </w:rPr>
        <w:endnoteReference w:id="11"/>
      </w:r>
      <w:r w:rsidR="00BE657E">
        <w:rPr>
          <w:rFonts w:eastAsia="Times New Roman"/>
        </w:rPr>
        <w:t xml:space="preserve">. Indeed, </w:t>
      </w:r>
      <w:r w:rsidR="009E046C">
        <w:rPr>
          <w:rFonts w:eastAsia="Times New Roman"/>
        </w:rPr>
        <w:t>the main dan</w:t>
      </w:r>
      <w:r w:rsidR="00BE657E">
        <w:rPr>
          <w:rFonts w:eastAsia="Times New Roman"/>
        </w:rPr>
        <w:t xml:space="preserve">ger of ENDS use is its role as a ‘gateway drug’ facilitating </w:t>
      </w:r>
      <w:r w:rsidR="009E046C">
        <w:rPr>
          <w:rFonts w:eastAsia="Times New Roman"/>
        </w:rPr>
        <w:t xml:space="preserve">the possible transition to cigarette smoking later in life. </w:t>
      </w:r>
      <w:r w:rsidR="00BE657E">
        <w:rPr>
          <w:rFonts w:eastAsia="Times New Roman"/>
        </w:rPr>
        <w:t xml:space="preserve">Without clear evidence for the complementarity of ENDS and cigarettes, the FDA should craft policies that restrict the appeal or availability of ENDS in sync with policies that do the same for </w:t>
      </w:r>
      <w:r w:rsidR="00BE657E">
        <w:rPr>
          <w:rFonts w:eastAsia="Times New Roman"/>
        </w:rPr>
        <w:lastRenderedPageBreak/>
        <w:t>cigarettes. Restrictions that reduce the possibility of later transition to cigarette use do not net a public health gain if they incentivize the use of cigarettes today.</w:t>
      </w:r>
      <w:r w:rsidR="00D9133C">
        <w:rPr>
          <w:rFonts w:eastAsia="Times New Roman"/>
        </w:rPr>
        <w:t xml:space="preserve"> If the end goal of regulation is to reduce smoking rates among the youth and adult population, restrictions should focus primarily upon cigarettes. This way, there is less possibility for second order effects of regulation to harm public health.</w:t>
      </w:r>
      <w:r w:rsidR="00BE657E">
        <w:rPr>
          <w:rFonts w:eastAsia="Times New Roman"/>
        </w:rPr>
        <w:t xml:space="preserve"> My recommendation to the FDA is </w:t>
      </w:r>
      <w:r w:rsidR="00874340">
        <w:rPr>
          <w:rFonts w:eastAsia="Times New Roman"/>
        </w:rPr>
        <w:t xml:space="preserve">to </w:t>
      </w:r>
      <w:r w:rsidR="00BE657E">
        <w:rPr>
          <w:rFonts w:eastAsia="Times New Roman"/>
        </w:rPr>
        <w:t xml:space="preserve">make sure they do not create the situation where ENDS are restricted behind lock and key in specialty shops, while flavored cigarillos and menthol cigarettes are available at any gas station. </w:t>
      </w:r>
    </w:p>
    <w:p w:rsidR="00BD1615" w:rsidRDefault="00BD1615" w:rsidP="00BD1615">
      <w:pPr>
        <w:spacing w:line="480" w:lineRule="auto"/>
        <w:rPr>
          <w:rFonts w:eastAsia="Times New Roman"/>
        </w:rPr>
      </w:pPr>
    </w:p>
    <w:p w:rsidR="00BD1615" w:rsidRDefault="00BD1615" w:rsidP="00BD1615">
      <w:pPr>
        <w:spacing w:line="480" w:lineRule="auto"/>
        <w:rPr>
          <w:rFonts w:eastAsia="Times New Roman"/>
        </w:rPr>
      </w:pPr>
      <w:r>
        <w:rPr>
          <w:rFonts w:eastAsia="Times New Roman"/>
          <w:b/>
        </w:rPr>
        <w:t>Limitations</w:t>
      </w:r>
    </w:p>
    <w:p w:rsidR="00BD1615" w:rsidRDefault="00BD1615" w:rsidP="00BD1615">
      <w:pPr>
        <w:spacing w:line="480" w:lineRule="auto"/>
        <w:rPr>
          <w:rFonts w:eastAsia="Times New Roman"/>
        </w:rPr>
      </w:pPr>
      <w:r>
        <w:rPr>
          <w:rFonts w:eastAsia="Times New Roman"/>
        </w:rPr>
        <w:tab/>
        <w:t>This analy</w:t>
      </w:r>
      <w:r w:rsidR="00BE5D89">
        <w:rPr>
          <w:rFonts w:eastAsia="Times New Roman"/>
        </w:rPr>
        <w:t>sis has a number of limitations, some due to methodological choices and others due to the data.</w:t>
      </w:r>
      <w:r>
        <w:rPr>
          <w:rFonts w:eastAsia="Times New Roman"/>
        </w:rPr>
        <w:t xml:space="preserve"> Firstly, the National Youth Tobacco Survey is not a perfect random sample. The survey is applied to all students within a randomly selected school, making use of cluster sampling. Although the NYTS provides weight and stratification variables, I unfortunately lack the econometric knowledge to apply these to the data. </w:t>
      </w:r>
      <w:r w:rsidR="00BE5D89">
        <w:rPr>
          <w:rFonts w:eastAsia="Times New Roman"/>
        </w:rPr>
        <w:t>Secondly, it is possible that some portion of the effect of ENDS regulation is delayed in time. While Dutra et al. include year-lagged variables to investigate this hypothesis, they did not find any significant difference between contemporaneous and year-lagged effects, and I did not include lagged variables in this analysis.</w:t>
      </w:r>
      <w:r w:rsidR="00326B83">
        <w:rPr>
          <w:rFonts w:eastAsia="Times New Roman"/>
        </w:rPr>
        <w:t xml:space="preserve"> </w:t>
      </w:r>
    </w:p>
    <w:p w:rsidR="00D9133C" w:rsidRDefault="00D9133C" w:rsidP="00BD1615">
      <w:pPr>
        <w:spacing w:line="480" w:lineRule="auto"/>
        <w:rPr>
          <w:rFonts w:eastAsia="Times New Roman"/>
        </w:rPr>
      </w:pPr>
    </w:p>
    <w:p w:rsidR="00326B83" w:rsidRDefault="00326B83" w:rsidP="00BD1615">
      <w:pPr>
        <w:spacing w:line="480" w:lineRule="auto"/>
        <w:rPr>
          <w:rFonts w:eastAsia="Times New Roman"/>
        </w:rPr>
      </w:pPr>
      <w:r>
        <w:rPr>
          <w:rFonts w:eastAsia="Times New Roman"/>
        </w:rPr>
        <w:tab/>
        <w:t xml:space="preserve">Another possible source of bias for the estimates is the omission of controls for cigarette regulation. If ENDS and cigarette regulation are highly correlated (for example by inclusion in the same legislative bill) the cost of ENDS relative to cigarettes will not increase, and individuals will have no incentive to substitute to cigarettes. </w:t>
      </w:r>
      <w:r w:rsidR="000E4FB5">
        <w:rPr>
          <w:rFonts w:eastAsia="Times New Roman"/>
        </w:rPr>
        <w:t>The analysis furthermore did not account for county and municipal regulation, which could also bias the estimates.</w:t>
      </w:r>
      <w:r w:rsidR="00BE657E">
        <w:rPr>
          <w:rFonts w:eastAsia="Times New Roman"/>
        </w:rPr>
        <w:t xml:space="preserve"> One final limitation of this </w:t>
      </w:r>
      <w:r w:rsidR="00BE657E">
        <w:rPr>
          <w:rFonts w:eastAsia="Times New Roman"/>
        </w:rPr>
        <w:lastRenderedPageBreak/>
        <w:t>study is that it did not investigate the possible effects of ENDS regulation on smoking intensity, as well as incid</w:t>
      </w:r>
      <w:r w:rsidR="00874340">
        <w:rPr>
          <w:rFonts w:eastAsia="Times New Roman"/>
        </w:rPr>
        <w:t xml:space="preserve">ence. It is possible that the substitution effect of ENDS regulation may be stronger for dual users of ENDS and cigarettes, and might be discerned by an investigation of smoking intensity. </w:t>
      </w:r>
    </w:p>
    <w:p w:rsidR="00D9133C" w:rsidRDefault="00D9133C" w:rsidP="00BD1615">
      <w:pPr>
        <w:spacing w:line="480" w:lineRule="auto"/>
        <w:rPr>
          <w:rFonts w:eastAsia="Times New Roman"/>
        </w:rPr>
      </w:pPr>
    </w:p>
    <w:p w:rsidR="003F39B2" w:rsidRDefault="003F39B2" w:rsidP="00BD1615">
      <w:pPr>
        <w:spacing w:line="480" w:lineRule="auto"/>
        <w:rPr>
          <w:rFonts w:eastAsia="Times New Roman"/>
        </w:rPr>
      </w:pPr>
      <w:r>
        <w:rPr>
          <w:rFonts w:eastAsia="Times New Roman"/>
        </w:rPr>
        <w:tab/>
        <w:t>My recommendation for future research is the use of longitudinal data to capture the dynamic and intertemporal effects of ENDS regulation on youth smoking. Methods should be constructed to differentiate between individuals that delay use of cigarettes by use of ENDS and individuals that initiate use of cigarettes because of an affinity for n</w:t>
      </w:r>
      <w:r w:rsidR="00F40AE3">
        <w:rPr>
          <w:rFonts w:eastAsia="Times New Roman"/>
        </w:rPr>
        <w:t xml:space="preserve">icotine developed by ENDS use. While the public health impact of the FDA’s program may be difficult to discern, it is imperative that the FDA construct their regulations to achieve truly helpful outcome, rather than simply following their own self-interest by signaling “well, we are doing something.” </w:t>
      </w:r>
    </w:p>
    <w:p w:rsidR="0012055B" w:rsidRDefault="0012055B" w:rsidP="00BD1615">
      <w:pPr>
        <w:spacing w:line="480" w:lineRule="auto"/>
        <w:rPr>
          <w:rFonts w:eastAsia="Times New Roman"/>
        </w:rPr>
      </w:pPr>
    </w:p>
    <w:p w:rsidR="0012055B" w:rsidRPr="00FC2B26" w:rsidRDefault="00FC2B26">
      <w:pPr>
        <w:rPr>
          <w:rFonts w:eastAsia="Times New Roman"/>
        </w:rPr>
      </w:pPr>
      <w:r>
        <w:rPr>
          <w:rFonts w:eastAsia="Times New Roman"/>
          <w:b/>
        </w:rPr>
        <w:t>References</w:t>
      </w:r>
      <w:bookmarkStart w:id="0" w:name="_GoBack"/>
      <w:bookmarkEnd w:id="0"/>
    </w:p>
    <w:sectPr w:rsidR="0012055B" w:rsidRPr="00FC2B26">
      <w:endnotePr>
        <w:numFmt w:val="decimal"/>
      </w:endnotePr>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2A2" w:rsidRDefault="007062A2" w:rsidP="0001207D">
      <w:pPr>
        <w:spacing w:line="240" w:lineRule="auto"/>
      </w:pPr>
      <w:r>
        <w:separator/>
      </w:r>
    </w:p>
  </w:endnote>
  <w:endnote w:type="continuationSeparator" w:id="0">
    <w:p w:rsidR="007062A2" w:rsidRDefault="007062A2" w:rsidP="0001207D">
      <w:pPr>
        <w:spacing w:line="240" w:lineRule="auto"/>
      </w:pPr>
      <w:r>
        <w:continuationSeparator/>
      </w:r>
    </w:p>
  </w:endnote>
  <w:endnote w:id="1">
    <w:p w:rsidR="0001207D" w:rsidRPr="00FC2B26" w:rsidRDefault="0001207D" w:rsidP="00FC2B26">
      <w:pPr>
        <w:rPr>
          <w:rFonts w:eastAsia="Times New Roman"/>
          <w:sz w:val="20"/>
          <w:szCs w:val="20"/>
        </w:rPr>
      </w:pPr>
      <w:r w:rsidRPr="00FC2B26">
        <w:rPr>
          <w:rStyle w:val="EndnoteReference"/>
        </w:rPr>
        <w:endnoteRef/>
      </w:r>
      <w:r w:rsidRPr="00FC2B26">
        <w:rPr>
          <w:sz w:val="20"/>
          <w:szCs w:val="20"/>
        </w:rPr>
        <w:t xml:space="preserve"> </w:t>
      </w:r>
      <w:hyperlink r:id="rId1" w:history="1">
        <w:r w:rsidR="00D1103D" w:rsidRPr="00FC2B26">
          <w:rPr>
            <w:rStyle w:val="Hyperlink"/>
            <w:sz w:val="20"/>
            <w:szCs w:val="20"/>
            <w:u w:val="none"/>
          </w:rPr>
          <w:t>Gottlieb, Scott, M.D. FDA Statement. November 15, 2018</w:t>
        </w:r>
      </w:hyperlink>
    </w:p>
  </w:endnote>
  <w:endnote w:id="2">
    <w:p w:rsidR="00FC2B26" w:rsidRPr="00FC2B26" w:rsidRDefault="00FC2B26">
      <w:pPr>
        <w:pStyle w:val="EndnoteText"/>
        <w:rPr>
          <w:lang w:val="en-US"/>
        </w:rPr>
      </w:pPr>
      <w:r w:rsidRPr="00FC2B26">
        <w:rPr>
          <w:rStyle w:val="EndnoteReference"/>
        </w:rPr>
        <w:endnoteRef/>
      </w:r>
      <w:r w:rsidRPr="00FC2B26">
        <w:t xml:space="preserve"> </w:t>
      </w:r>
      <w:hyperlink r:id="rId2" w:history="1">
        <w:r w:rsidRPr="00FC2B26">
          <w:rPr>
            <w:rStyle w:val="Hyperlink"/>
            <w:u w:val="none"/>
          </w:rPr>
          <w:t>Marynak, Kristy, et al. CDC Morbidity and Mortality Weekly Report. December 12, 2014. "State Laws Prohibiting Sales to Minors and Indoor Use of Electronic Nicotine Delivery Systems"</w:t>
        </w:r>
      </w:hyperlink>
    </w:p>
  </w:endnote>
  <w:endnote w:id="3">
    <w:p w:rsidR="003B2F10" w:rsidRPr="00D1103D" w:rsidRDefault="003B2F10" w:rsidP="003B2F10">
      <w:pPr>
        <w:pStyle w:val="EndnoteText"/>
        <w:rPr>
          <w:lang w:val="en-US"/>
        </w:rPr>
      </w:pPr>
      <w:r w:rsidRPr="00FC2B26">
        <w:rPr>
          <w:rStyle w:val="EndnoteReference"/>
        </w:rPr>
        <w:endnoteRef/>
      </w:r>
      <w:r w:rsidRPr="00FC2B26">
        <w:t xml:space="preserve"> </w:t>
      </w:r>
      <w:hyperlink r:id="rId3" w:history="1">
        <w:r w:rsidRPr="00FC2B26">
          <w:rPr>
            <w:rStyle w:val="Hyperlink"/>
            <w:u w:val="none"/>
          </w:rPr>
          <w:t>Becker, Rachel. The Verge. November 9, 2018. “What a ban on e-cigarette flavors could mean for big tobacco”.</w:t>
        </w:r>
      </w:hyperlink>
    </w:p>
  </w:endnote>
  <w:endnote w:id="4">
    <w:p w:rsidR="006A5B6D" w:rsidRPr="006A5B6D" w:rsidRDefault="006A5B6D">
      <w:pPr>
        <w:pStyle w:val="EndnoteText"/>
        <w:rPr>
          <w:lang w:val="en-US"/>
        </w:rPr>
      </w:pPr>
      <w:r>
        <w:rPr>
          <w:rStyle w:val="EndnoteReference"/>
        </w:rPr>
        <w:endnoteRef/>
      </w:r>
      <w:r>
        <w:t xml:space="preserve"> </w:t>
      </w:r>
      <w:hyperlink r:id="rId4" w:history="1">
        <w:r w:rsidRPr="006A5B6D">
          <w:rPr>
            <w:rStyle w:val="Hyperlink"/>
            <w:u w:val="none"/>
          </w:rPr>
          <w:t>Dutra, L. M., Glantz, S. A., Arrazola, R. A., &amp; King, B. A. (2018). Impact of e-cigarette minimum legal sale age laws on current cigarette smoking. Journal of Adolescent Health, 62(5), 532-538.</w:t>
        </w:r>
      </w:hyperlink>
    </w:p>
  </w:endnote>
  <w:endnote w:id="5">
    <w:p w:rsidR="006A5B6D" w:rsidRPr="006A5B6D" w:rsidRDefault="006A5B6D">
      <w:pPr>
        <w:pStyle w:val="EndnoteText"/>
        <w:rPr>
          <w:lang w:val="en-US"/>
        </w:rPr>
      </w:pPr>
      <w:r>
        <w:rPr>
          <w:rStyle w:val="EndnoteReference"/>
        </w:rPr>
        <w:endnoteRef/>
      </w:r>
      <w:r>
        <w:t xml:space="preserve"> </w:t>
      </w:r>
      <w:hyperlink r:id="rId5" w:history="1">
        <w:r w:rsidRPr="006A5B6D">
          <w:rPr>
            <w:rStyle w:val="Hyperlink"/>
            <w:u w:val="none"/>
          </w:rPr>
          <w:t>Abouk, R., &amp; Adams, S. (2017). Bans on electronic cigarette sales to minors and smoking among high school students. Journal of health economics, 54, 17-24.</w:t>
        </w:r>
      </w:hyperlink>
    </w:p>
  </w:endnote>
  <w:endnote w:id="6">
    <w:p w:rsidR="005E4EF5" w:rsidRPr="005E4EF5" w:rsidRDefault="005E4EF5">
      <w:pPr>
        <w:pStyle w:val="EndnoteText"/>
        <w:rPr>
          <w:lang w:val="en-US"/>
        </w:rPr>
      </w:pPr>
      <w:r>
        <w:rPr>
          <w:rStyle w:val="EndnoteReference"/>
        </w:rPr>
        <w:endnoteRef/>
      </w:r>
      <w:r w:rsidRPr="005E4EF5">
        <w:t xml:space="preserve"> </w:t>
      </w:r>
      <w:hyperlink r:id="rId6" w:history="1">
        <w:r w:rsidRPr="005E4EF5">
          <w:rPr>
            <w:rStyle w:val="Hyperlink"/>
            <w:u w:val="none"/>
          </w:rPr>
          <w:t>Pesko, M. F., Hughes, J. M., &amp; Faisal, F. S. (2016). The influence of electronic cigarette age purchasing restrictions on adolescent tobacco and marijuana use. Preventive medicine, 87, 207-212.</w:t>
        </w:r>
      </w:hyperlink>
    </w:p>
  </w:endnote>
  <w:endnote w:id="7">
    <w:p w:rsidR="00683B1A" w:rsidRPr="00683B1A" w:rsidRDefault="00683B1A">
      <w:pPr>
        <w:pStyle w:val="EndnoteText"/>
        <w:rPr>
          <w:lang w:val="en-US"/>
        </w:rPr>
      </w:pPr>
      <w:r>
        <w:rPr>
          <w:rStyle w:val="EndnoteReference"/>
        </w:rPr>
        <w:endnoteRef/>
      </w:r>
      <w:r>
        <w:t xml:space="preserve"> </w:t>
      </w:r>
      <w:hyperlink r:id="rId7" w:history="1">
        <w:r w:rsidRPr="00683B1A">
          <w:rPr>
            <w:rStyle w:val="Hyperlink"/>
            <w:u w:val="none"/>
          </w:rPr>
          <w:t>Dave, D., Feng, B., &amp; Pesko, M. F. (2017). The effects of e-cigarette minimum legal sale age laws on youth substance use (No. w23313). National Bureau of Economic Research.</w:t>
        </w:r>
      </w:hyperlink>
    </w:p>
  </w:endnote>
  <w:endnote w:id="8">
    <w:p w:rsidR="00CA4E04" w:rsidRPr="00CA4E04" w:rsidRDefault="00CA4E04">
      <w:pPr>
        <w:pStyle w:val="EndnoteText"/>
        <w:rPr>
          <w:lang w:val="en-US"/>
        </w:rPr>
      </w:pPr>
      <w:r>
        <w:rPr>
          <w:rStyle w:val="EndnoteReference"/>
        </w:rPr>
        <w:endnoteRef/>
      </w:r>
      <w:r w:rsidRPr="00CA4E04">
        <w:t xml:space="preserve"> </w:t>
      </w:r>
      <w:hyperlink r:id="rId8" w:history="1">
        <w:r w:rsidRPr="00CA4E04">
          <w:rPr>
            <w:rStyle w:val="Hyperlink"/>
            <w:u w:val="none"/>
          </w:rPr>
          <w:t>Buckell, J., Marti, J., &amp; Sindelar, J. L. (2017). Should Flavors be Banned in E-cigarettes? Evidence on Adult Smokers and Recent Quitters from a Discrete Choice Experiment (No. w23865). National Bureau of Economic Research.</w:t>
        </w:r>
      </w:hyperlink>
    </w:p>
  </w:endnote>
  <w:endnote w:id="9">
    <w:p w:rsidR="000C0C14" w:rsidRPr="000C0C14" w:rsidRDefault="000C0C14">
      <w:pPr>
        <w:pStyle w:val="EndnoteText"/>
        <w:rPr>
          <w:lang w:val="en-US"/>
        </w:rPr>
      </w:pPr>
      <w:r>
        <w:rPr>
          <w:rStyle w:val="EndnoteReference"/>
        </w:rPr>
        <w:endnoteRef/>
      </w:r>
      <w:r>
        <w:t xml:space="preserve"> </w:t>
      </w:r>
      <w:hyperlink r:id="rId9" w:history="1">
        <w:r w:rsidRPr="000C0C14">
          <w:rPr>
            <w:rStyle w:val="Hyperlink"/>
            <w:u w:val="none"/>
          </w:rPr>
          <w:t>Buu, A., Hu, Y. H., Piper, M. E., &amp; Lin, H. C. (2018). The association between e-cigarette use characteristics and combustible cigarette consumption and dependence symptoms: Results from a national longitudinal study. Addictive behaviors, 84, 69-74</w:t>
        </w:r>
        <w:r w:rsidRPr="000C0C14">
          <w:rPr>
            <w:rStyle w:val="Hyperlink"/>
          </w:rPr>
          <w:t>.</w:t>
        </w:r>
      </w:hyperlink>
    </w:p>
  </w:endnote>
  <w:endnote w:id="10">
    <w:p w:rsidR="003266B4" w:rsidRPr="003266B4" w:rsidRDefault="003266B4">
      <w:pPr>
        <w:pStyle w:val="EndnoteText"/>
        <w:rPr>
          <w:lang w:val="en-US"/>
        </w:rPr>
      </w:pPr>
      <w:r>
        <w:rPr>
          <w:rStyle w:val="EndnoteReference"/>
        </w:rPr>
        <w:endnoteRef/>
      </w:r>
      <w:r>
        <w:t xml:space="preserve"> </w:t>
      </w:r>
      <w:hyperlink r:id="rId10" w:history="1">
        <w:r w:rsidRPr="003266B4">
          <w:rPr>
            <w:rStyle w:val="Hyperlink"/>
            <w:u w:val="none"/>
          </w:rPr>
          <w:t>Shiffman, Saul, et al. "The impact of flavor descriptors on nonsmoking teens’ and adult smokers’ interest in electronic cigarettes." Nicotine &amp; Tobacco Research 17.10 (2015): 1255-1262.</w:t>
        </w:r>
      </w:hyperlink>
    </w:p>
  </w:endnote>
  <w:endnote w:id="11">
    <w:p w:rsidR="00BE657E" w:rsidRPr="00BE657E" w:rsidRDefault="00BE657E">
      <w:pPr>
        <w:pStyle w:val="EndnoteText"/>
        <w:rPr>
          <w:lang w:val="en-US"/>
        </w:rPr>
      </w:pPr>
      <w:r>
        <w:rPr>
          <w:rStyle w:val="EndnoteReference"/>
        </w:rPr>
        <w:endnoteRef/>
      </w:r>
      <w:r>
        <w:t xml:space="preserve"> </w:t>
      </w:r>
      <w:hyperlink r:id="rId11" w:history="1">
        <w:r w:rsidRPr="00BE657E">
          <w:rPr>
            <w:rStyle w:val="Hyperlink"/>
            <w:u w:val="none"/>
          </w:rPr>
          <w:t>Royal College of Physicians (2016). Nicotine without smoke: Tobacco harm reduction</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2A2" w:rsidRDefault="007062A2" w:rsidP="0001207D">
      <w:pPr>
        <w:spacing w:line="240" w:lineRule="auto"/>
      </w:pPr>
      <w:r>
        <w:separator/>
      </w:r>
    </w:p>
  </w:footnote>
  <w:footnote w:type="continuationSeparator" w:id="0">
    <w:p w:rsidR="007062A2" w:rsidRDefault="007062A2" w:rsidP="0001207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55B"/>
    <w:rsid w:val="0001207D"/>
    <w:rsid w:val="00063513"/>
    <w:rsid w:val="000C0C14"/>
    <w:rsid w:val="000E4FB5"/>
    <w:rsid w:val="0012055B"/>
    <w:rsid w:val="0013578D"/>
    <w:rsid w:val="00171443"/>
    <w:rsid w:val="0019156A"/>
    <w:rsid w:val="00233875"/>
    <w:rsid w:val="003060DC"/>
    <w:rsid w:val="003266B4"/>
    <w:rsid w:val="00326B83"/>
    <w:rsid w:val="00385756"/>
    <w:rsid w:val="003B2F10"/>
    <w:rsid w:val="003F39B2"/>
    <w:rsid w:val="004538B4"/>
    <w:rsid w:val="004610A3"/>
    <w:rsid w:val="0048392D"/>
    <w:rsid w:val="00513765"/>
    <w:rsid w:val="005846AE"/>
    <w:rsid w:val="005973FE"/>
    <w:rsid w:val="005A6B37"/>
    <w:rsid w:val="005E4EF5"/>
    <w:rsid w:val="005F4EE1"/>
    <w:rsid w:val="00606E58"/>
    <w:rsid w:val="00681126"/>
    <w:rsid w:val="00683B1A"/>
    <w:rsid w:val="006A5B6D"/>
    <w:rsid w:val="006C25C0"/>
    <w:rsid w:val="006F70E7"/>
    <w:rsid w:val="00701078"/>
    <w:rsid w:val="007062A2"/>
    <w:rsid w:val="007C442B"/>
    <w:rsid w:val="008251D8"/>
    <w:rsid w:val="00871F45"/>
    <w:rsid w:val="00874340"/>
    <w:rsid w:val="0092036A"/>
    <w:rsid w:val="0092653A"/>
    <w:rsid w:val="0094502F"/>
    <w:rsid w:val="009E046C"/>
    <w:rsid w:val="00A157C1"/>
    <w:rsid w:val="00B01192"/>
    <w:rsid w:val="00BA4025"/>
    <w:rsid w:val="00BD1615"/>
    <w:rsid w:val="00BE5D89"/>
    <w:rsid w:val="00BE657E"/>
    <w:rsid w:val="00C078AC"/>
    <w:rsid w:val="00C56721"/>
    <w:rsid w:val="00C61DB0"/>
    <w:rsid w:val="00CA4E04"/>
    <w:rsid w:val="00CB2F79"/>
    <w:rsid w:val="00CC6B97"/>
    <w:rsid w:val="00D1103D"/>
    <w:rsid w:val="00D7060E"/>
    <w:rsid w:val="00D83068"/>
    <w:rsid w:val="00D9133C"/>
    <w:rsid w:val="00DA2B2F"/>
    <w:rsid w:val="00DB05FD"/>
    <w:rsid w:val="00E20130"/>
    <w:rsid w:val="00F40AE3"/>
    <w:rsid w:val="00F52CD0"/>
    <w:rsid w:val="00FC2B26"/>
    <w:rsid w:val="00FD68DC"/>
    <w:rsid w:val="00FF3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CB94"/>
  <w15:docId w15:val="{DDBC892B-06D9-401D-BCB1-2ED2A9F9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hAnsi="Arial" w:cs="Arial"/>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PlainTable2">
    <w:name w:val="Plain Table 2"/>
    <w:basedOn w:val="TableNormal"/>
    <w:uiPriority w:val="42"/>
    <w:rsid w:val="00CB2F7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CB2F79"/>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CB2F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F52CD0"/>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F52CD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1">
    <w:name w:val="List Table 7 Colorful Accent 1"/>
    <w:basedOn w:val="TableNormal"/>
    <w:uiPriority w:val="52"/>
    <w:rsid w:val="00F52CD0"/>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1">
    <w:name w:val="List Table 4 Accent 1"/>
    <w:basedOn w:val="TableNormal"/>
    <w:uiPriority w:val="49"/>
    <w:rsid w:val="00F52CD0"/>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F52CD0"/>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F52CD0"/>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F52CD0"/>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F52CD0"/>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F52CD0"/>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F52CD0"/>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1Light-Accent1">
    <w:name w:val="List Table 1 Light Accent 1"/>
    <w:basedOn w:val="TableNormal"/>
    <w:uiPriority w:val="46"/>
    <w:rsid w:val="00F52CD0"/>
    <w:pPr>
      <w:spacing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1">
    <w:name w:val="List Table 6 Colorful Accent 1"/>
    <w:basedOn w:val="TableNormal"/>
    <w:uiPriority w:val="51"/>
    <w:rsid w:val="00F52CD0"/>
    <w:pPr>
      <w:spacing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dnoteText">
    <w:name w:val="endnote text"/>
    <w:basedOn w:val="Normal"/>
    <w:link w:val="EndnoteTextChar"/>
    <w:uiPriority w:val="99"/>
    <w:semiHidden/>
    <w:unhideWhenUsed/>
    <w:rsid w:val="0001207D"/>
    <w:pPr>
      <w:spacing w:line="240" w:lineRule="auto"/>
    </w:pPr>
    <w:rPr>
      <w:sz w:val="20"/>
      <w:szCs w:val="20"/>
    </w:rPr>
  </w:style>
  <w:style w:type="character" w:customStyle="1" w:styleId="EndnoteTextChar">
    <w:name w:val="Endnote Text Char"/>
    <w:basedOn w:val="DefaultParagraphFont"/>
    <w:link w:val="EndnoteText"/>
    <w:uiPriority w:val="99"/>
    <w:semiHidden/>
    <w:rsid w:val="0001207D"/>
    <w:rPr>
      <w:sz w:val="20"/>
      <w:szCs w:val="20"/>
    </w:rPr>
  </w:style>
  <w:style w:type="character" w:styleId="EndnoteReference">
    <w:name w:val="endnote reference"/>
    <w:basedOn w:val="DefaultParagraphFont"/>
    <w:uiPriority w:val="99"/>
    <w:semiHidden/>
    <w:unhideWhenUsed/>
    <w:rsid w:val="0001207D"/>
    <w:rPr>
      <w:vertAlign w:val="superscript"/>
    </w:rPr>
  </w:style>
  <w:style w:type="character" w:styleId="Hyperlink">
    <w:name w:val="Hyperlink"/>
    <w:basedOn w:val="DefaultParagraphFont"/>
    <w:uiPriority w:val="99"/>
    <w:unhideWhenUsed/>
    <w:rsid w:val="00D1103D"/>
    <w:rPr>
      <w:color w:val="0000FF" w:themeColor="hyperlink"/>
      <w:u w:val="single"/>
    </w:rPr>
  </w:style>
  <w:style w:type="paragraph" w:styleId="FootnoteText">
    <w:name w:val="footnote text"/>
    <w:basedOn w:val="Normal"/>
    <w:link w:val="FootnoteTextChar"/>
    <w:uiPriority w:val="99"/>
    <w:semiHidden/>
    <w:unhideWhenUsed/>
    <w:rsid w:val="00FC2B26"/>
    <w:pPr>
      <w:spacing w:line="240" w:lineRule="auto"/>
    </w:pPr>
    <w:rPr>
      <w:sz w:val="20"/>
      <w:szCs w:val="20"/>
    </w:rPr>
  </w:style>
  <w:style w:type="character" w:customStyle="1" w:styleId="FootnoteTextChar">
    <w:name w:val="Footnote Text Char"/>
    <w:basedOn w:val="DefaultParagraphFont"/>
    <w:link w:val="FootnoteText"/>
    <w:uiPriority w:val="99"/>
    <w:semiHidden/>
    <w:rsid w:val="00FC2B26"/>
    <w:rPr>
      <w:sz w:val="20"/>
      <w:szCs w:val="20"/>
    </w:rPr>
  </w:style>
  <w:style w:type="character" w:styleId="FootnoteReference">
    <w:name w:val="footnote reference"/>
    <w:basedOn w:val="DefaultParagraphFont"/>
    <w:uiPriority w:val="99"/>
    <w:semiHidden/>
    <w:unhideWhenUsed/>
    <w:rsid w:val="00FC2B26"/>
    <w:rPr>
      <w:vertAlign w:val="superscript"/>
    </w:rPr>
  </w:style>
  <w:style w:type="table" w:styleId="GridTable1Light">
    <w:name w:val="Grid Table 1 Light"/>
    <w:basedOn w:val="TableNormal"/>
    <w:uiPriority w:val="46"/>
    <w:rsid w:val="00FD68D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6">
    <w:name w:val="List Table 2 Accent 6"/>
    <w:basedOn w:val="TableNormal"/>
    <w:uiPriority w:val="47"/>
    <w:rsid w:val="00D83068"/>
    <w:pPr>
      <w:spacing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8" Type="http://schemas.openxmlformats.org/officeDocument/2006/relationships/hyperlink" Target="https://www.nber.org/papers/w23865" TargetMode="External"/><Relationship Id="rId3" Type="http://schemas.openxmlformats.org/officeDocument/2006/relationships/hyperlink" Target="https://www.theverge.com/2018/11/9/18080308/electronic-cigarettes-fda-flavor-ban-vaping-juul-blu-vuse-big-tobacco" TargetMode="External"/><Relationship Id="rId7" Type="http://schemas.openxmlformats.org/officeDocument/2006/relationships/hyperlink" Target="https://www.nber.org/papers/w23313" TargetMode="External"/><Relationship Id="rId2" Type="http://schemas.openxmlformats.org/officeDocument/2006/relationships/hyperlink" Target="https://www.cdc.gov/mmwr/preview/mmwrhtml/mm6349a1.htm" TargetMode="External"/><Relationship Id="rId1" Type="http://schemas.openxmlformats.org/officeDocument/2006/relationships/hyperlink" Target="https://www.fda.gov/NewsEvents/Newsroom/PressAnnouncements/ucm625884.htm" TargetMode="External"/><Relationship Id="rId6" Type="http://schemas.openxmlformats.org/officeDocument/2006/relationships/hyperlink" Target="https://www-sciencedirect-com.libproxy.clemson.edu/science/article/pii/S0091743516000396" TargetMode="External"/><Relationship Id="rId11" Type="http://schemas.openxmlformats.org/officeDocument/2006/relationships/hyperlink" Target="https://www.rcplondon.ac.uk/projects/outputs/nicotine-without-smoke-tobacco-harm-reduction-0" TargetMode="External"/><Relationship Id="rId5" Type="http://schemas.openxmlformats.org/officeDocument/2006/relationships/hyperlink" Target="https://www-sciencedirect-com.libproxy.clemson.edu/science/article/pii/S0167629617302436" TargetMode="External"/><Relationship Id="rId10" Type="http://schemas.openxmlformats.org/officeDocument/2006/relationships/hyperlink" Target="https://academic-oup-com.libproxy.clemson.edu/ntr/article/17/10/1255/1028251" TargetMode="External"/><Relationship Id="rId4" Type="http://schemas.openxmlformats.org/officeDocument/2006/relationships/hyperlink" Target="https://www-sciencedirect-com.libproxy.clemson.edu/science/article/pii/S1054139X17309047" TargetMode="External"/><Relationship Id="rId9" Type="http://schemas.openxmlformats.org/officeDocument/2006/relationships/hyperlink" Target="https://www-sciencedirect-com.libproxy.clemson.edu/science/article/pii/S030646031830251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9A546-F35B-4FF0-9B06-A71B2B220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12</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2018-12-05T23:40:00Z</dcterms:created>
  <dcterms:modified xsi:type="dcterms:W3CDTF">2018-12-07T21:08:00Z</dcterms:modified>
</cp:coreProperties>
</file>