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0A228" w14:textId="1BC71AB9" w:rsidR="00CF572E" w:rsidRDefault="00CF572E" w:rsidP="0062561D">
      <w:pPr>
        <w:spacing w:after="0"/>
        <w:contextualSpacing/>
        <w:rPr>
          <w:rFonts w:ascii="Times New Roman" w:hAnsi="Times New Roman" w:cs="Times New Roman"/>
          <w:b/>
          <w:sz w:val="24"/>
          <w:szCs w:val="24"/>
        </w:rPr>
      </w:pPr>
      <w:r>
        <w:rPr>
          <w:rFonts w:ascii="Times New Roman" w:hAnsi="Times New Roman" w:cs="Times New Roman"/>
          <w:b/>
          <w:sz w:val="24"/>
          <w:szCs w:val="24"/>
        </w:rPr>
        <w:t>Table of Contents</w:t>
      </w:r>
    </w:p>
    <w:p w14:paraId="7DD9B2F7" w14:textId="77777777" w:rsidR="00CF572E" w:rsidRDefault="00CF572E" w:rsidP="0062561D">
      <w:pPr>
        <w:spacing w:after="0"/>
        <w:contextualSpacing/>
        <w:rPr>
          <w:rFonts w:ascii="Times New Roman" w:hAnsi="Times New Roman" w:cs="Times New Roman"/>
          <w:b/>
          <w:sz w:val="24"/>
          <w:szCs w:val="24"/>
        </w:rPr>
      </w:pPr>
    </w:p>
    <w:p w14:paraId="23B3B727" w14:textId="77777777" w:rsidR="00CF572E" w:rsidRDefault="00CF572E" w:rsidP="0062561D">
      <w:pPr>
        <w:spacing w:after="0"/>
        <w:contextualSpacing/>
        <w:rPr>
          <w:rFonts w:ascii="Times New Roman" w:hAnsi="Times New Roman" w:cs="Times New Roman"/>
          <w:sz w:val="24"/>
          <w:szCs w:val="24"/>
        </w:rPr>
      </w:pPr>
      <w:r>
        <w:rPr>
          <w:rFonts w:ascii="Times New Roman" w:hAnsi="Times New Roman" w:cs="Times New Roman"/>
          <w:b/>
          <w:sz w:val="24"/>
          <w:szCs w:val="24"/>
        </w:rPr>
        <w:t>Table of Figures</w:t>
      </w:r>
    </w:p>
    <w:p w14:paraId="40860BBD" w14:textId="77777777" w:rsidR="00CF572E" w:rsidRDefault="00CF572E" w:rsidP="0062561D">
      <w:pPr>
        <w:spacing w:after="0"/>
        <w:contextualSpacing/>
        <w:rPr>
          <w:rFonts w:ascii="Times New Roman" w:hAnsi="Times New Roman" w:cs="Times New Roman"/>
          <w:b/>
          <w:sz w:val="24"/>
          <w:szCs w:val="24"/>
        </w:rPr>
      </w:pPr>
    </w:p>
    <w:p w14:paraId="717D30D1" w14:textId="77777777" w:rsidR="009F39EF" w:rsidRPr="00474B03" w:rsidRDefault="009F39EF"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Policy Landscape</w:t>
      </w:r>
    </w:p>
    <w:p w14:paraId="6AC6B5FD" w14:textId="77777777" w:rsidR="009F39EF" w:rsidRDefault="009F39EF" w:rsidP="0062561D">
      <w:pPr>
        <w:spacing w:after="0"/>
        <w:contextualSpacing/>
        <w:rPr>
          <w:rFonts w:ascii="Times New Roman" w:hAnsi="Times New Roman" w:cs="Times New Roman"/>
          <w:sz w:val="24"/>
          <w:szCs w:val="24"/>
        </w:rPr>
      </w:pPr>
    </w:p>
    <w:p w14:paraId="644092AF" w14:textId="6DB34476" w:rsidR="009F39EF" w:rsidRDefault="009F39EF"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Since 1993,</w:t>
      </w:r>
      <w:r w:rsidR="00FE0F02">
        <w:rPr>
          <w:rFonts w:ascii="Times New Roman" w:hAnsi="Times New Roman" w:cs="Times New Roman"/>
          <w:sz w:val="24"/>
          <w:szCs w:val="24"/>
        </w:rPr>
        <w:t xml:space="preserve"> eligible</w:t>
      </w:r>
      <w:r>
        <w:rPr>
          <w:rFonts w:ascii="Times New Roman" w:hAnsi="Times New Roman" w:cs="Times New Roman"/>
          <w:sz w:val="24"/>
          <w:szCs w:val="24"/>
        </w:rPr>
        <w:t xml:space="preserve"> US workers have had access to 12 weeks of unpaid leave under the Family and Medical Leave Act (FMLA). </w:t>
      </w:r>
      <w:r w:rsidR="00FE0F02">
        <w:rPr>
          <w:rFonts w:ascii="Times New Roman" w:hAnsi="Times New Roman" w:cs="Times New Roman"/>
          <w:sz w:val="24"/>
          <w:szCs w:val="24"/>
        </w:rPr>
        <w:t>However, due to firm size and work history requirements, eligibility is far</w:t>
      </w:r>
      <w:r w:rsidR="002C4C57">
        <w:rPr>
          <w:rFonts w:ascii="Times New Roman" w:hAnsi="Times New Roman" w:cs="Times New Roman"/>
          <w:sz w:val="24"/>
          <w:szCs w:val="24"/>
        </w:rPr>
        <w:t xml:space="preserve"> from universal, and typical use is even smaller. In 2012, the Department of Labor</w:t>
      </w:r>
      <w:r w:rsidR="00FE0F02">
        <w:rPr>
          <w:rFonts w:ascii="Times New Roman" w:hAnsi="Times New Roman" w:cs="Times New Roman"/>
          <w:sz w:val="24"/>
          <w:szCs w:val="24"/>
        </w:rPr>
        <w:t xml:space="preserve"> estimated that fewer than 60% of workers nationwide were eligible for FMLA leave </w:t>
      </w:r>
      <w:r w:rsidR="002C4C57">
        <w:rPr>
          <w:rFonts w:ascii="Times New Roman" w:hAnsi="Times New Roman" w:cs="Times New Roman"/>
          <w:sz w:val="24"/>
          <w:szCs w:val="24"/>
        </w:rPr>
        <w:t>and only 16% of those eligible workers actually took FMLA leave (Klerman</w:t>
      </w:r>
      <w:r w:rsidR="00B72DA6">
        <w:rPr>
          <w:rFonts w:ascii="Times New Roman" w:hAnsi="Times New Roman" w:cs="Times New Roman"/>
          <w:sz w:val="24"/>
          <w:szCs w:val="24"/>
        </w:rPr>
        <w:t>,</w:t>
      </w:r>
      <w:r w:rsidR="002C4C57">
        <w:rPr>
          <w:rFonts w:ascii="Times New Roman" w:hAnsi="Times New Roman" w:cs="Times New Roman"/>
          <w:sz w:val="24"/>
          <w:szCs w:val="24"/>
        </w:rPr>
        <w:t xml:space="preserve"> Daley, and Pozniak</w:t>
      </w:r>
      <w:r w:rsidR="00FE0F02">
        <w:rPr>
          <w:rFonts w:ascii="Times New Roman" w:hAnsi="Times New Roman" w:cs="Times New Roman"/>
          <w:sz w:val="24"/>
          <w:szCs w:val="24"/>
        </w:rPr>
        <w:t xml:space="preserve"> 2012). </w:t>
      </w:r>
    </w:p>
    <w:p w14:paraId="1C483372" w14:textId="77777777" w:rsidR="00AD0E9B" w:rsidRDefault="00AD0E9B" w:rsidP="0062561D">
      <w:pPr>
        <w:spacing w:after="0"/>
        <w:contextualSpacing/>
        <w:rPr>
          <w:rFonts w:ascii="Times New Roman" w:hAnsi="Times New Roman" w:cs="Times New Roman"/>
          <w:sz w:val="24"/>
          <w:szCs w:val="24"/>
        </w:rPr>
      </w:pPr>
    </w:p>
    <w:p w14:paraId="18EA5729" w14:textId="467EF80F"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Enacted in September 2002, the California Paid Family Leave legislation (CA-PFL) went into effect July 2004. The CA-PFL grants 6 weeks of paid leave to eligible mothers and fathers, providing 55% of base pay</w:t>
      </w:r>
      <w:r w:rsidR="00EF60FB">
        <w:rPr>
          <w:rFonts w:ascii="Times New Roman" w:hAnsi="Times New Roman" w:cs="Times New Roman"/>
          <w:sz w:val="24"/>
          <w:szCs w:val="24"/>
        </w:rPr>
        <w:t xml:space="preserve"> constrained by a cap on payout ($1,075 per week in 2014 and $1,252 in 2019)</w:t>
      </w:r>
      <w:r w:rsidR="00D358AC">
        <w:rPr>
          <w:rFonts w:ascii="Times New Roman" w:hAnsi="Times New Roman" w:cs="Times New Roman"/>
          <w:sz w:val="24"/>
          <w:szCs w:val="24"/>
        </w:rPr>
        <w:t xml:space="preserve">. </w:t>
      </w:r>
      <w:r w:rsidR="00F12B90">
        <w:rPr>
          <w:rFonts w:ascii="Times New Roman" w:hAnsi="Times New Roman" w:cs="Times New Roman"/>
          <w:sz w:val="24"/>
          <w:szCs w:val="24"/>
        </w:rPr>
        <w:t xml:space="preserve">Workers may take leave concurrently or intermittently in the 12 months following birth. </w:t>
      </w:r>
      <w:r w:rsidR="004F6585">
        <w:rPr>
          <w:rFonts w:ascii="Times New Roman" w:hAnsi="Times New Roman" w:cs="Times New Roman"/>
          <w:sz w:val="24"/>
          <w:szCs w:val="24"/>
        </w:rPr>
        <w:t xml:space="preserve">The CA-PFL stacks with California’s preexisting Temporary Disability Insurance program (TDI) which typically provides mothers with six weeks to compensated leave to be used during pregnancy or immediately after childbirth. </w:t>
      </w:r>
      <w:r w:rsidR="00D358AC">
        <w:rPr>
          <w:rFonts w:ascii="Times New Roman" w:hAnsi="Times New Roman" w:cs="Times New Roman"/>
          <w:sz w:val="24"/>
          <w:szCs w:val="24"/>
        </w:rPr>
        <w:t xml:space="preserve">The </w:t>
      </w:r>
      <w:r w:rsidR="001D2292">
        <w:rPr>
          <w:rFonts w:ascii="Times New Roman" w:hAnsi="Times New Roman" w:cs="Times New Roman"/>
          <w:sz w:val="24"/>
          <w:szCs w:val="24"/>
        </w:rPr>
        <w:t>CA-PFL</w:t>
      </w:r>
      <w:r w:rsidR="00D358AC">
        <w:rPr>
          <w:rFonts w:ascii="Times New Roman" w:hAnsi="Times New Roman" w:cs="Times New Roman"/>
          <w:sz w:val="24"/>
          <w:szCs w:val="24"/>
        </w:rPr>
        <w:t xml:space="preserve"> is funded by a payroll tax on </w:t>
      </w:r>
      <w:r>
        <w:rPr>
          <w:rFonts w:ascii="Times New Roman" w:hAnsi="Times New Roman" w:cs="Times New Roman"/>
          <w:sz w:val="24"/>
          <w:szCs w:val="24"/>
        </w:rPr>
        <w:t xml:space="preserve">California workers. </w:t>
      </w:r>
    </w:p>
    <w:p w14:paraId="711E82F4" w14:textId="77777777" w:rsidR="00AD0E9B" w:rsidRDefault="00AD0E9B" w:rsidP="0062561D">
      <w:pPr>
        <w:spacing w:after="0"/>
        <w:contextualSpacing/>
        <w:rPr>
          <w:rFonts w:ascii="Times New Roman" w:hAnsi="Times New Roman" w:cs="Times New Roman"/>
          <w:sz w:val="24"/>
          <w:szCs w:val="24"/>
        </w:rPr>
      </w:pPr>
    </w:p>
    <w:p w14:paraId="3A92BA49" w14:textId="77777777" w:rsidR="00AD0E9B" w:rsidRDefault="00AD0E9B" w:rsidP="004F6585">
      <w:pPr>
        <w:spacing w:after="0"/>
        <w:ind w:firstLine="720"/>
        <w:contextualSpacing/>
        <w:rPr>
          <w:rFonts w:ascii="Times New Roman" w:hAnsi="Times New Roman" w:cs="Times New Roman"/>
          <w:sz w:val="24"/>
          <w:szCs w:val="24"/>
        </w:rPr>
      </w:pPr>
      <w:r>
        <w:rPr>
          <w:rFonts w:ascii="Times New Roman" w:hAnsi="Times New Roman" w:cs="Times New Roman"/>
          <w:sz w:val="24"/>
          <w:szCs w:val="24"/>
        </w:rPr>
        <w:t xml:space="preserve">Officially entitled the Family Temporary Disability Leave law, the New Jersey Paid Family Leave legislation (NJ-PFL) came into effect in July 2009.  The NJ-PFL grants 6 weeks of paid leave to eligible mothers and fathers, providing 2/3 of average weekly pay up to a </w:t>
      </w:r>
      <w:r w:rsidR="00416675">
        <w:rPr>
          <w:rFonts w:ascii="Times New Roman" w:hAnsi="Times New Roman" w:cs="Times New Roman"/>
          <w:sz w:val="24"/>
          <w:szCs w:val="24"/>
        </w:rPr>
        <w:t>set maximum that has varied over time ($595 per week in 2014)</w:t>
      </w:r>
      <w:r>
        <w:rPr>
          <w:rFonts w:ascii="Times New Roman" w:hAnsi="Times New Roman" w:cs="Times New Roman"/>
          <w:sz w:val="24"/>
          <w:szCs w:val="24"/>
        </w:rPr>
        <w:t xml:space="preserve">. Eligible workers are those individuals that have worked at least 20 calendar weeks in </w:t>
      </w:r>
      <w:r w:rsidR="00D358AC">
        <w:rPr>
          <w:rFonts w:ascii="Times New Roman" w:hAnsi="Times New Roman" w:cs="Times New Roman"/>
          <w:sz w:val="24"/>
          <w:szCs w:val="24"/>
        </w:rPr>
        <w:t xml:space="preserve">New Jersey or that have earned at least $7,150 in the 12 months preceding requested leave. Workers may take leave within 12 months of birth, and leave may be taken concurrently or intermittently. NJ-PFL is funded by a payroll tax on New Jersey workers. </w:t>
      </w:r>
    </w:p>
    <w:p w14:paraId="2A014EE0" w14:textId="77777777" w:rsidR="009F39EF" w:rsidRDefault="009F39EF" w:rsidP="0062561D">
      <w:pPr>
        <w:spacing w:after="0"/>
        <w:contextualSpacing/>
        <w:rPr>
          <w:rFonts w:ascii="Times New Roman" w:hAnsi="Times New Roman" w:cs="Times New Roman"/>
          <w:sz w:val="24"/>
          <w:szCs w:val="24"/>
        </w:rPr>
      </w:pPr>
    </w:p>
    <w:p w14:paraId="0F3B9E60" w14:textId="77777777" w:rsidR="0062561D" w:rsidRPr="00474B03" w:rsidRDefault="001F1B1D" w:rsidP="0062561D">
      <w:pPr>
        <w:spacing w:after="0"/>
        <w:contextualSpacing/>
        <w:rPr>
          <w:rFonts w:ascii="Times New Roman" w:hAnsi="Times New Roman" w:cs="Times New Roman"/>
          <w:b/>
          <w:sz w:val="24"/>
          <w:szCs w:val="24"/>
        </w:rPr>
      </w:pPr>
      <w:r w:rsidRPr="00474B03">
        <w:rPr>
          <w:rFonts w:ascii="Times New Roman" w:hAnsi="Times New Roman" w:cs="Times New Roman"/>
          <w:b/>
          <w:sz w:val="24"/>
          <w:szCs w:val="24"/>
        </w:rPr>
        <w:t>Literature Review</w:t>
      </w:r>
    </w:p>
    <w:p w14:paraId="568784E6" w14:textId="61CFEF3F" w:rsidR="00F15B17" w:rsidRDefault="00F15B17" w:rsidP="0062561D">
      <w:pPr>
        <w:spacing w:after="0"/>
        <w:contextualSpacing/>
        <w:rPr>
          <w:rFonts w:ascii="Times New Roman" w:hAnsi="Times New Roman" w:cs="Times New Roman"/>
          <w:sz w:val="24"/>
          <w:szCs w:val="24"/>
        </w:rPr>
      </w:pPr>
    </w:p>
    <w:p w14:paraId="28024B64" w14:textId="005A444A" w:rsidR="00EE5DCA" w:rsidRDefault="00EE5DCA" w:rsidP="00EE5DCA">
      <w:pPr>
        <w:spacing w:after="0"/>
        <w:contextualSpacing/>
        <w:rPr>
          <w:rFonts w:ascii="Times New Roman" w:hAnsi="Times New Roman" w:cs="Times New Roman"/>
          <w:sz w:val="24"/>
          <w:szCs w:val="24"/>
        </w:rPr>
      </w:pPr>
      <w:r w:rsidRPr="00EE5DCA">
        <w:rPr>
          <w:rFonts w:ascii="Times New Roman" w:hAnsi="Times New Roman" w:cs="Times New Roman"/>
          <w:sz w:val="24"/>
          <w:szCs w:val="24"/>
        </w:rPr>
        <w:tab/>
        <w:t>Slater, Ruhm, and Waldfogel (2012) conduct a difference-in-difference analysis using yearly data from 1999 to 2010 collected in the March Current Population Survey. They use this data to estimate the effect of the CA-PFL on leave-taking of mothers following childbirth, as well as their subsequent labor market outcomes. The author find that the CA-PFL doubled overall use of maternity leave from three weeks on average to six weeks on average. Slater, Ruhm and Waldfogel also estimate that the California policy increased the usual weekly work hours of employed mothers of one-to-three year-o</w:t>
      </w:r>
      <w:r w:rsidR="00932CFB">
        <w:rPr>
          <w:rFonts w:ascii="Times New Roman" w:hAnsi="Times New Roman" w:cs="Times New Roman"/>
          <w:sz w:val="24"/>
          <w:szCs w:val="24"/>
        </w:rPr>
        <w:t>ld children by 10 to 17 percent.</w:t>
      </w:r>
    </w:p>
    <w:p w14:paraId="212B9A2E" w14:textId="77777777" w:rsidR="00B340E6" w:rsidRPr="00EE5DCA" w:rsidRDefault="00B340E6" w:rsidP="00EE5DCA">
      <w:pPr>
        <w:spacing w:after="0"/>
        <w:contextualSpacing/>
        <w:rPr>
          <w:rFonts w:ascii="Times New Roman" w:hAnsi="Times New Roman" w:cs="Times New Roman"/>
          <w:sz w:val="24"/>
          <w:szCs w:val="24"/>
        </w:rPr>
      </w:pPr>
    </w:p>
    <w:p w14:paraId="7B12FB04" w14:textId="7F1AE1C8" w:rsidR="00EE5DCA" w:rsidRDefault="00B340E6" w:rsidP="00474B03">
      <w:pPr>
        <w:ind w:firstLine="720"/>
        <w:contextualSpacing/>
        <w:rPr>
          <w:rFonts w:ascii="Times New Roman" w:hAnsi="Times New Roman" w:cs="Times New Roman"/>
          <w:sz w:val="24"/>
          <w:szCs w:val="24"/>
        </w:rPr>
      </w:pPr>
      <w:r w:rsidRPr="00B340E6">
        <w:rPr>
          <w:rFonts w:ascii="Times New Roman" w:hAnsi="Times New Roman" w:cs="Times New Roman"/>
          <w:sz w:val="24"/>
          <w:szCs w:val="24"/>
        </w:rPr>
        <w:tab/>
        <w:t>Baum and Ruhm (2014) make use of the 1997 cohort of the National Longitudinal Survey of Youth to investigate the effect of the CA-PFL on var</w:t>
      </w:r>
      <w:r>
        <w:rPr>
          <w:rFonts w:ascii="Times New Roman" w:hAnsi="Times New Roman" w:cs="Times New Roman"/>
          <w:sz w:val="24"/>
          <w:szCs w:val="24"/>
        </w:rPr>
        <w:t xml:space="preserve">ious labor market outcomes. The </w:t>
      </w:r>
      <w:r>
        <w:rPr>
          <w:rFonts w:ascii="Times New Roman" w:hAnsi="Times New Roman" w:cs="Times New Roman"/>
          <w:sz w:val="24"/>
          <w:szCs w:val="24"/>
        </w:rPr>
        <w:lastRenderedPageBreak/>
        <w:t>authors</w:t>
      </w:r>
      <w:r w:rsidRPr="00B340E6">
        <w:rPr>
          <w:rFonts w:ascii="Times New Roman" w:hAnsi="Times New Roman" w:cs="Times New Roman"/>
          <w:sz w:val="24"/>
          <w:szCs w:val="24"/>
        </w:rPr>
        <w:t xml:space="preserve"> find that the CA-PFL raised leave-taking on average by one week for fathers and three weeks for mothers. </w:t>
      </w:r>
      <w:r>
        <w:rPr>
          <w:rFonts w:ascii="Times New Roman" w:hAnsi="Times New Roman" w:cs="Times New Roman"/>
          <w:sz w:val="24"/>
          <w:szCs w:val="24"/>
        </w:rPr>
        <w:t xml:space="preserve">According to their analysis, the authors find that the largest effect of the CA-PFL </w:t>
      </w:r>
      <w:r w:rsidR="004F2641">
        <w:rPr>
          <w:rFonts w:ascii="Times New Roman" w:hAnsi="Times New Roman" w:cs="Times New Roman"/>
          <w:sz w:val="24"/>
          <w:szCs w:val="24"/>
        </w:rPr>
        <w:t xml:space="preserve">on leave-taking </w:t>
      </w:r>
      <w:r>
        <w:rPr>
          <w:rFonts w:ascii="Times New Roman" w:hAnsi="Times New Roman" w:cs="Times New Roman"/>
          <w:sz w:val="24"/>
          <w:szCs w:val="24"/>
        </w:rPr>
        <w:t xml:space="preserve">occurs </w:t>
      </w:r>
      <w:r w:rsidR="004F2641">
        <w:rPr>
          <w:rFonts w:ascii="Times New Roman" w:hAnsi="Times New Roman" w:cs="Times New Roman"/>
          <w:sz w:val="24"/>
          <w:szCs w:val="24"/>
        </w:rPr>
        <w:t>6 to 14 weeks after birth. This corresponds with theory, as the CA-PFL stacks with California’s preexisting Temporary Disability Insurance program, which provides six weeks of paid leave following childbirth. Baum and Ruhm</w:t>
      </w:r>
      <w:r w:rsidR="004F2641" w:rsidRPr="004F2641">
        <w:rPr>
          <w:rFonts w:ascii="Times New Roman" w:hAnsi="Times New Roman" w:cs="Times New Roman"/>
          <w:sz w:val="24"/>
          <w:szCs w:val="24"/>
        </w:rPr>
        <w:t xml:space="preserve"> also find that the policy increased the rate at which mothers return to work after giving birth, but did not find a statistically significant effect upon mothers’ wages</w:t>
      </w:r>
      <w:r w:rsidR="004F2641">
        <w:rPr>
          <w:rFonts w:ascii="Times New Roman" w:hAnsi="Times New Roman" w:cs="Times New Roman"/>
          <w:sz w:val="24"/>
          <w:szCs w:val="24"/>
        </w:rPr>
        <w:t>. They</w:t>
      </w:r>
      <w:r w:rsidRPr="00B340E6">
        <w:rPr>
          <w:rFonts w:ascii="Times New Roman" w:hAnsi="Times New Roman" w:cs="Times New Roman"/>
          <w:sz w:val="24"/>
          <w:szCs w:val="24"/>
        </w:rPr>
        <w:t xml:space="preserve"> suggest based on the evidence that the increased rate of return to work for mothers could be due to CA-PFL lowering the probability of mothers quitting their jobs prior to giving birth.</w:t>
      </w:r>
    </w:p>
    <w:p w14:paraId="79C428B2" w14:textId="77777777" w:rsidR="00B340E6" w:rsidRDefault="00B340E6" w:rsidP="00474B03">
      <w:pPr>
        <w:ind w:firstLine="720"/>
        <w:contextualSpacing/>
        <w:rPr>
          <w:rFonts w:ascii="Times New Roman" w:hAnsi="Times New Roman" w:cs="Times New Roman"/>
          <w:sz w:val="24"/>
          <w:szCs w:val="24"/>
        </w:rPr>
      </w:pPr>
    </w:p>
    <w:p w14:paraId="2234B16E"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Das and Polachek (2015) use data from the March Current Population Survey to explore the impact of the CA-PFL on labor force participation and unemployment outcomes. Utilizing a difference-in-difference framework, the authors find that the CA-PFL increased the LFP rate of young women in California relative to other states. Das and Polachek also investigate unintended negative consequences of the law, and find that the policy increased the rate and average duration of unemployment for young women relative to other states.</w:t>
      </w:r>
    </w:p>
    <w:p w14:paraId="704DB1E9" w14:textId="20C6A2C4" w:rsidR="00EE5DCA" w:rsidRDefault="00EE5DCA" w:rsidP="00474B03">
      <w:pPr>
        <w:ind w:firstLine="720"/>
        <w:contextualSpacing/>
        <w:rPr>
          <w:rFonts w:ascii="Times New Roman" w:hAnsi="Times New Roman" w:cs="Times New Roman"/>
          <w:sz w:val="24"/>
          <w:szCs w:val="24"/>
        </w:rPr>
      </w:pPr>
    </w:p>
    <w:p w14:paraId="6FAF3BAA" w14:textId="77777777" w:rsidR="00EE5DCA" w:rsidRPr="00EE5DCA" w:rsidRDefault="00EE5DCA" w:rsidP="00EE5DCA">
      <w:pPr>
        <w:ind w:firstLine="720"/>
        <w:contextualSpacing/>
        <w:rPr>
          <w:rFonts w:ascii="Times New Roman" w:hAnsi="Times New Roman" w:cs="Times New Roman"/>
          <w:sz w:val="24"/>
          <w:szCs w:val="24"/>
        </w:rPr>
      </w:pPr>
      <w:r w:rsidRPr="00EE5DCA">
        <w:rPr>
          <w:rFonts w:ascii="Times New Roman" w:hAnsi="Times New Roman" w:cs="Times New Roman"/>
          <w:sz w:val="24"/>
          <w:szCs w:val="24"/>
        </w:rPr>
        <w:tab/>
        <w:t>Curtis, Hirsch, and Schroeder (2016) use data from the Quarterly Workforce Indicators to estimate the effect of the CA-PFL on labor market outcomes by examining employment flows and wage offers among new hires. The authors find that although the CA-PFL had little effect on earnings for young women in California, the policy did result in increased labor market churn (defined by the authors as separations, hires, and recalls).</w:t>
      </w:r>
    </w:p>
    <w:p w14:paraId="3090EB0F" w14:textId="77777777" w:rsidR="00EE5DCA" w:rsidRDefault="00EE5DCA" w:rsidP="00474B03">
      <w:pPr>
        <w:ind w:firstLine="720"/>
        <w:contextualSpacing/>
        <w:rPr>
          <w:rFonts w:ascii="Times New Roman" w:hAnsi="Times New Roman" w:cs="Times New Roman"/>
          <w:sz w:val="24"/>
          <w:szCs w:val="24"/>
        </w:rPr>
      </w:pPr>
    </w:p>
    <w:p w14:paraId="4296737E" w14:textId="34C4119A" w:rsidR="00474B03" w:rsidRDefault="009F39EF" w:rsidP="00EE5DCA">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Bartel et al. </w:t>
      </w:r>
      <w:r w:rsidR="00474B03">
        <w:rPr>
          <w:rFonts w:ascii="Times New Roman" w:hAnsi="Times New Roman" w:cs="Times New Roman"/>
          <w:sz w:val="24"/>
          <w:szCs w:val="24"/>
        </w:rPr>
        <w:t xml:space="preserve">(2018) </w:t>
      </w:r>
      <w:r>
        <w:rPr>
          <w:rFonts w:ascii="Times New Roman" w:hAnsi="Times New Roman" w:cs="Times New Roman"/>
          <w:sz w:val="24"/>
          <w:szCs w:val="24"/>
        </w:rPr>
        <w:t>use data from the 2000 Census and the 2000 to 2013 waves of the American Community Survey to investigate the effect of the California Paid Family Leave law on father</w:t>
      </w:r>
      <w:r w:rsidR="00BE21C5">
        <w:rPr>
          <w:rFonts w:ascii="Times New Roman" w:hAnsi="Times New Roman" w:cs="Times New Roman"/>
          <w:sz w:val="24"/>
          <w:szCs w:val="24"/>
        </w:rPr>
        <w:t>s’ leave-</w:t>
      </w:r>
      <w:r>
        <w:rPr>
          <w:rFonts w:ascii="Times New Roman" w:hAnsi="Times New Roman" w:cs="Times New Roman"/>
          <w:sz w:val="24"/>
          <w:szCs w:val="24"/>
        </w:rPr>
        <w:t xml:space="preserve">taking. </w:t>
      </w:r>
      <w:r w:rsidR="00BE21C5">
        <w:rPr>
          <w:rFonts w:ascii="Times New Roman" w:hAnsi="Times New Roman" w:cs="Times New Roman"/>
          <w:sz w:val="24"/>
          <w:szCs w:val="24"/>
        </w:rPr>
        <w:t xml:space="preserve">The authors find that the policy raised leave-taking rates of fathers by 46 percent, although fathers still on average only take 1.5 weeks out of the total 6 weeks of leave for which they are eligible under CA-PFL. In contrast, mothers on average take 9 weeks out of the 12 total weeks for which they are eligible under the combined Temporary Disability Insurance policy </w:t>
      </w:r>
      <w:r w:rsidR="00474B03">
        <w:rPr>
          <w:rFonts w:ascii="Times New Roman" w:hAnsi="Times New Roman" w:cs="Times New Roman"/>
          <w:sz w:val="24"/>
          <w:szCs w:val="24"/>
        </w:rPr>
        <w:t xml:space="preserve">and the CA-PFL. </w:t>
      </w:r>
    </w:p>
    <w:p w14:paraId="20D988D5" w14:textId="21FA6E2D" w:rsidR="00D358AC" w:rsidRDefault="00D358AC">
      <w:pPr>
        <w:contextualSpacing/>
        <w:rPr>
          <w:rFonts w:ascii="Times New Roman" w:hAnsi="Times New Roman" w:cs="Times New Roman"/>
          <w:sz w:val="24"/>
          <w:szCs w:val="24"/>
        </w:rPr>
      </w:pPr>
    </w:p>
    <w:p w14:paraId="546327F9" w14:textId="77777777" w:rsidR="00D358AC" w:rsidRDefault="00D358AC">
      <w:pPr>
        <w:contextualSpacing/>
        <w:rPr>
          <w:rFonts w:ascii="Times New Roman" w:hAnsi="Times New Roman" w:cs="Times New Roman"/>
          <w:sz w:val="24"/>
          <w:szCs w:val="24"/>
        </w:rPr>
      </w:pPr>
      <w:r>
        <w:rPr>
          <w:rFonts w:ascii="Times New Roman" w:hAnsi="Times New Roman" w:cs="Times New Roman"/>
          <w:b/>
          <w:sz w:val="24"/>
          <w:szCs w:val="24"/>
        </w:rPr>
        <w:t>Theory</w:t>
      </w:r>
    </w:p>
    <w:p w14:paraId="75BAEF92" w14:textId="20A7F039" w:rsidR="005F0BE4" w:rsidRDefault="005F0BE4">
      <w:pPr>
        <w:contextualSpacing/>
        <w:rPr>
          <w:rFonts w:ascii="Times New Roman" w:hAnsi="Times New Roman" w:cs="Times New Roman"/>
          <w:sz w:val="24"/>
          <w:szCs w:val="24"/>
        </w:rPr>
      </w:pPr>
    </w:p>
    <w:p w14:paraId="1F85BD89" w14:textId="595BFC2B" w:rsidR="005F0BE4" w:rsidRDefault="005F0BE4">
      <w:pPr>
        <w:contextualSpacing/>
        <w:rPr>
          <w:rFonts w:ascii="Times New Roman" w:hAnsi="Times New Roman" w:cs="Times New Roman"/>
          <w:sz w:val="24"/>
          <w:szCs w:val="24"/>
        </w:rPr>
      </w:pPr>
      <w:r>
        <w:rPr>
          <w:rFonts w:ascii="Times New Roman" w:hAnsi="Times New Roman" w:cs="Times New Roman"/>
          <w:sz w:val="24"/>
          <w:szCs w:val="24"/>
        </w:rPr>
        <w:tab/>
        <w:t>Economic theory provides mechanisms for both a positive and negative effect of paid family leave policies on labor force participation of mothers. As paid leave can reduce career interruptions by preserving job continuity of mothers, a paid leave policy may have a positive effect on labor force participation. On the other hand, paid leave may lower the demand curve for young women in the labor market, as firms anticipate bearing higher costs compared to other workers</w:t>
      </w:r>
      <w:r w:rsidR="00112CCD">
        <w:rPr>
          <w:rFonts w:ascii="Times New Roman" w:hAnsi="Times New Roman" w:cs="Times New Roman"/>
          <w:sz w:val="24"/>
          <w:szCs w:val="24"/>
        </w:rPr>
        <w:t>, and discriminate accordingly.</w:t>
      </w:r>
      <w:r w:rsidR="004D06FC">
        <w:rPr>
          <w:rFonts w:ascii="Times New Roman" w:hAnsi="Times New Roman" w:cs="Times New Roman"/>
          <w:sz w:val="24"/>
          <w:szCs w:val="24"/>
        </w:rPr>
        <w:t xml:space="preserve"> In the analysis conducted in this paper, I investigate the impact of paid family leave policies on both labor force participation and employment.</w:t>
      </w:r>
    </w:p>
    <w:p w14:paraId="38E5D15B" w14:textId="639D560A" w:rsidR="004D06FC" w:rsidRDefault="004D06FC">
      <w:pPr>
        <w:contextualSpacing/>
        <w:rPr>
          <w:rFonts w:ascii="Times New Roman" w:hAnsi="Times New Roman" w:cs="Times New Roman"/>
          <w:sz w:val="24"/>
          <w:szCs w:val="24"/>
        </w:rPr>
      </w:pPr>
    </w:p>
    <w:p w14:paraId="25FAB080" w14:textId="00DF6C91" w:rsidR="004D06FC" w:rsidRDefault="004D06FC">
      <w:pPr>
        <w:contextualSpacing/>
        <w:rPr>
          <w:rFonts w:ascii="Times New Roman" w:hAnsi="Times New Roman" w:cs="Times New Roman"/>
          <w:sz w:val="24"/>
          <w:szCs w:val="24"/>
        </w:rPr>
      </w:pPr>
      <w:r>
        <w:rPr>
          <w:rFonts w:ascii="Times New Roman" w:hAnsi="Times New Roman" w:cs="Times New Roman"/>
          <w:sz w:val="24"/>
          <w:szCs w:val="24"/>
        </w:rPr>
        <w:tab/>
        <w:t xml:space="preserve">As paid leave policies lower the cost of remaining in the labor force during and after pregnancy, theory predicts that we will observe a positive effect of paid leave policies on </w:t>
      </w:r>
      <w:r>
        <w:rPr>
          <w:rFonts w:ascii="Times New Roman" w:hAnsi="Times New Roman" w:cs="Times New Roman"/>
          <w:sz w:val="24"/>
          <w:szCs w:val="24"/>
        </w:rPr>
        <w:lastRenderedPageBreak/>
        <w:t xml:space="preserve">mothers’ labor force participation. </w:t>
      </w:r>
      <w:r w:rsidR="009B36AD">
        <w:rPr>
          <w:rFonts w:ascii="Times New Roman" w:hAnsi="Times New Roman" w:cs="Times New Roman"/>
          <w:sz w:val="24"/>
          <w:szCs w:val="24"/>
        </w:rPr>
        <w:t xml:space="preserve">Similarly, theory predicts a positive effect on employment. The predicted effect on the proportion of women searching for a job, however, is less clear. </w:t>
      </w:r>
      <w:r w:rsidR="0036055E">
        <w:rPr>
          <w:rFonts w:ascii="Times New Roman" w:hAnsi="Times New Roman" w:cs="Times New Roman"/>
          <w:sz w:val="24"/>
          <w:szCs w:val="24"/>
        </w:rPr>
        <w:t xml:space="preserve">A positive effect on employment should correspond to a negative effect on searching. However, it is possible that a positive effect on labor force participation could correspond to a positive effect on searching, as more women in the labor force means more women looking for jobs, even if the proportion of women searching for jobs out of all women in the labor force is the same in both the treatment and control group. </w:t>
      </w:r>
    </w:p>
    <w:p w14:paraId="68C4F03B" w14:textId="77777777" w:rsidR="00112CCD" w:rsidRDefault="00112CCD">
      <w:pPr>
        <w:contextualSpacing/>
        <w:rPr>
          <w:rFonts w:ascii="Times New Roman" w:hAnsi="Times New Roman" w:cs="Times New Roman"/>
          <w:sz w:val="24"/>
          <w:szCs w:val="24"/>
        </w:rPr>
      </w:pPr>
    </w:p>
    <w:p w14:paraId="664101DD" w14:textId="5073CC6B" w:rsidR="00112CCD" w:rsidRDefault="00112CCD">
      <w:pPr>
        <w:contextualSpacing/>
        <w:rPr>
          <w:rFonts w:ascii="Times New Roman" w:hAnsi="Times New Roman" w:cs="Times New Roman"/>
          <w:sz w:val="24"/>
          <w:szCs w:val="24"/>
        </w:rPr>
      </w:pPr>
      <w:r>
        <w:rPr>
          <w:rFonts w:ascii="Times New Roman" w:hAnsi="Times New Roman" w:cs="Times New Roman"/>
          <w:sz w:val="24"/>
          <w:szCs w:val="24"/>
        </w:rPr>
        <w:tab/>
        <w:t xml:space="preserve">A wrinkle in estimating the impact of paid family leave policies is the differential effects expected among different classes of workers. </w:t>
      </w:r>
      <w:r w:rsidR="00726B49">
        <w:rPr>
          <w:rFonts w:ascii="Times New Roman" w:hAnsi="Times New Roman" w:cs="Times New Roman"/>
          <w:sz w:val="24"/>
          <w:szCs w:val="24"/>
        </w:rPr>
        <w:t xml:space="preserve">Among workers who would have returned to work in the absence of a paid family leave policy, the effect of the policy on work is likely to be negative as workers take advantage of the lowered cost of work interruption to lengthen their leave. </w:t>
      </w:r>
      <w:commentRangeStart w:id="0"/>
      <w:r w:rsidR="00726B49">
        <w:rPr>
          <w:rFonts w:ascii="Times New Roman" w:hAnsi="Times New Roman" w:cs="Times New Roman"/>
          <w:sz w:val="24"/>
          <w:szCs w:val="24"/>
        </w:rPr>
        <w:t xml:space="preserve">However, among workers who otherwise would have ended their employment, the effect of the policy on work is likely to be positive, as the policy provides greater ability for </w:t>
      </w:r>
      <w:r w:rsidR="004C6AF9">
        <w:rPr>
          <w:rFonts w:ascii="Times New Roman" w:hAnsi="Times New Roman" w:cs="Times New Roman"/>
          <w:sz w:val="24"/>
          <w:szCs w:val="24"/>
        </w:rPr>
        <w:t xml:space="preserve">the </w:t>
      </w:r>
      <w:r w:rsidR="00726B49">
        <w:rPr>
          <w:rFonts w:ascii="Times New Roman" w:hAnsi="Times New Roman" w:cs="Times New Roman"/>
          <w:sz w:val="24"/>
          <w:szCs w:val="24"/>
        </w:rPr>
        <w:t xml:space="preserve">worker to retain employment while still taking time away from work. </w:t>
      </w:r>
      <w:commentRangeEnd w:id="0"/>
      <w:r w:rsidR="006D00F9">
        <w:rPr>
          <w:rStyle w:val="CommentReference"/>
        </w:rPr>
        <w:commentReference w:id="0"/>
      </w:r>
    </w:p>
    <w:p w14:paraId="66F173D8" w14:textId="77777777" w:rsidR="00D358AC" w:rsidRDefault="00D358AC">
      <w:pPr>
        <w:contextualSpacing/>
        <w:rPr>
          <w:rFonts w:ascii="Times New Roman" w:hAnsi="Times New Roman" w:cs="Times New Roman"/>
          <w:sz w:val="24"/>
          <w:szCs w:val="24"/>
        </w:rPr>
      </w:pPr>
    </w:p>
    <w:p w14:paraId="14CE9A2C" w14:textId="77777777" w:rsidR="00D358AC" w:rsidRDefault="00D358AC">
      <w:pPr>
        <w:contextualSpacing/>
        <w:rPr>
          <w:rFonts w:ascii="Times New Roman" w:hAnsi="Times New Roman" w:cs="Times New Roman"/>
          <w:sz w:val="24"/>
          <w:szCs w:val="24"/>
        </w:rPr>
      </w:pPr>
    </w:p>
    <w:p w14:paraId="3D295645" w14:textId="516839CB" w:rsidR="00E554F7" w:rsidRDefault="00A6763E">
      <w:pPr>
        <w:contextualSpacing/>
        <w:rPr>
          <w:rFonts w:ascii="Times New Roman" w:hAnsi="Times New Roman" w:cs="Times New Roman"/>
          <w:sz w:val="24"/>
          <w:szCs w:val="24"/>
        </w:rPr>
      </w:pPr>
      <w:r>
        <w:rPr>
          <w:rFonts w:ascii="Times New Roman" w:hAnsi="Times New Roman" w:cs="Times New Roman"/>
          <w:b/>
          <w:sz w:val="24"/>
          <w:szCs w:val="24"/>
        </w:rPr>
        <w:t>Data</w:t>
      </w:r>
    </w:p>
    <w:p w14:paraId="4B42557A" w14:textId="408ECEF2" w:rsidR="00E554F7" w:rsidRPr="00E554F7" w:rsidRDefault="00E554F7">
      <w:pPr>
        <w:contextualSpacing/>
        <w:rPr>
          <w:rFonts w:ascii="Times New Roman" w:hAnsi="Times New Roman" w:cs="Times New Roman"/>
          <w:sz w:val="24"/>
          <w:szCs w:val="24"/>
        </w:rPr>
      </w:pPr>
    </w:p>
    <w:p w14:paraId="54D26B45" w14:textId="08ECF97B" w:rsidR="000047C6" w:rsidRDefault="000047C6">
      <w:pPr>
        <w:contextualSpacing/>
        <w:rPr>
          <w:rFonts w:ascii="Times New Roman" w:hAnsi="Times New Roman" w:cs="Times New Roman"/>
          <w:sz w:val="24"/>
          <w:szCs w:val="24"/>
        </w:rPr>
      </w:pPr>
      <w:r>
        <w:rPr>
          <w:rFonts w:ascii="Times New Roman" w:hAnsi="Times New Roman" w:cs="Times New Roman"/>
          <w:sz w:val="24"/>
          <w:szCs w:val="24"/>
        </w:rPr>
        <w:tab/>
        <w:t xml:space="preserve">In this paper, I used data from </w:t>
      </w:r>
      <w:r w:rsidR="00A11C54">
        <w:rPr>
          <w:rFonts w:ascii="Times New Roman" w:hAnsi="Times New Roman" w:cs="Times New Roman"/>
          <w:sz w:val="24"/>
          <w:szCs w:val="24"/>
        </w:rPr>
        <w:t>four</w:t>
      </w:r>
      <w:r>
        <w:rPr>
          <w:rFonts w:ascii="Times New Roman" w:hAnsi="Times New Roman" w:cs="Times New Roman"/>
          <w:sz w:val="24"/>
          <w:szCs w:val="24"/>
        </w:rPr>
        <w:t xml:space="preserve"> panels of the Survey of Income and Program Participation. </w:t>
      </w:r>
      <w:r w:rsidR="00EA5C64">
        <w:rPr>
          <w:rFonts w:ascii="Times New Roman" w:hAnsi="Times New Roman" w:cs="Times New Roman"/>
          <w:sz w:val="24"/>
          <w:szCs w:val="24"/>
        </w:rPr>
        <w:t>Each pan</w:t>
      </w:r>
      <w:r w:rsidR="00524DEB">
        <w:rPr>
          <w:rFonts w:ascii="Times New Roman" w:hAnsi="Times New Roman" w:cs="Times New Roman"/>
          <w:sz w:val="24"/>
          <w:szCs w:val="24"/>
        </w:rPr>
        <w:t>el covers a national stratified sample of the U.S. civilian non-institutionalized population</w:t>
      </w:r>
      <w:r w:rsidR="009F7B3E">
        <w:rPr>
          <w:rFonts w:ascii="Times New Roman" w:hAnsi="Times New Roman" w:cs="Times New Roman"/>
          <w:sz w:val="24"/>
          <w:szCs w:val="24"/>
        </w:rPr>
        <w:t xml:space="preserve"> and uses a 4-month</w:t>
      </w:r>
      <w:r w:rsidR="00EA5C64">
        <w:rPr>
          <w:rFonts w:ascii="Times New Roman" w:hAnsi="Times New Roman" w:cs="Times New Roman"/>
          <w:sz w:val="24"/>
          <w:szCs w:val="24"/>
        </w:rPr>
        <w:t xml:space="preserve"> recall period, with respondents divided into </w:t>
      </w:r>
      <w:r w:rsidR="00433F5A">
        <w:rPr>
          <w:rFonts w:ascii="Times New Roman" w:hAnsi="Times New Roman" w:cs="Times New Roman"/>
          <w:sz w:val="24"/>
          <w:szCs w:val="24"/>
        </w:rPr>
        <w:t>rotation groups with each group interviewed during one month of the four-month period</w:t>
      </w:r>
      <w:r w:rsidR="00EA5C64">
        <w:rPr>
          <w:rFonts w:ascii="Times New Roman" w:hAnsi="Times New Roman" w:cs="Times New Roman"/>
          <w:sz w:val="24"/>
          <w:szCs w:val="24"/>
        </w:rPr>
        <w:t xml:space="preserve">. </w:t>
      </w:r>
      <w:r w:rsidR="0087319A">
        <w:rPr>
          <w:rFonts w:ascii="Times New Roman" w:hAnsi="Times New Roman" w:cs="Times New Roman"/>
          <w:sz w:val="24"/>
          <w:szCs w:val="24"/>
        </w:rPr>
        <w:t xml:space="preserve">Each four-month period constitutes a wave of the survey. </w:t>
      </w:r>
      <w:r w:rsidR="00F22B57">
        <w:rPr>
          <w:rFonts w:ascii="Times New Roman" w:hAnsi="Times New Roman" w:cs="Times New Roman"/>
          <w:sz w:val="24"/>
          <w:szCs w:val="24"/>
        </w:rPr>
        <w:t>As respondents to the survey are recorded over differ</w:t>
      </w:r>
      <w:r w:rsidR="00E22FB6">
        <w:rPr>
          <w:rFonts w:ascii="Times New Roman" w:hAnsi="Times New Roman" w:cs="Times New Roman"/>
          <w:sz w:val="24"/>
          <w:szCs w:val="24"/>
        </w:rPr>
        <w:t>ing</w:t>
      </w:r>
      <w:r w:rsidR="00F22B57">
        <w:rPr>
          <w:rFonts w:ascii="Times New Roman" w:hAnsi="Times New Roman" w:cs="Times New Roman"/>
          <w:sz w:val="24"/>
          <w:szCs w:val="24"/>
        </w:rPr>
        <w:t xml:space="preserve"> lengths of time, the dataset constitutes an unbalanced panel. </w:t>
      </w:r>
    </w:p>
    <w:p w14:paraId="551FF7AE" w14:textId="466DB8D5" w:rsidR="00B21CB0" w:rsidRDefault="00B21CB0">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99"/>
        <w:gridCol w:w="2475"/>
        <w:gridCol w:w="2238"/>
        <w:gridCol w:w="2238"/>
      </w:tblGrid>
      <w:tr w:rsidR="00B21CB0" w14:paraId="765D5C0A" w14:textId="641978BE" w:rsidTr="00B21CB0">
        <w:tc>
          <w:tcPr>
            <w:tcW w:w="2399" w:type="dxa"/>
          </w:tcPr>
          <w:p w14:paraId="1A05D0D0" w14:textId="3CCCE039"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SIPP Panel</w:t>
            </w:r>
          </w:p>
        </w:tc>
        <w:tc>
          <w:tcPr>
            <w:tcW w:w="2475" w:type="dxa"/>
          </w:tcPr>
          <w:p w14:paraId="6C287EA9" w14:textId="06467135"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Number of Waves</w:t>
            </w:r>
          </w:p>
        </w:tc>
        <w:tc>
          <w:tcPr>
            <w:tcW w:w="2238" w:type="dxa"/>
          </w:tcPr>
          <w:p w14:paraId="688FF957" w14:textId="32FE6190"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First Month</w:t>
            </w:r>
          </w:p>
        </w:tc>
        <w:tc>
          <w:tcPr>
            <w:tcW w:w="2238" w:type="dxa"/>
          </w:tcPr>
          <w:p w14:paraId="403A0D41" w14:textId="27D99F8F" w:rsidR="00B21CB0" w:rsidRDefault="00B21CB0" w:rsidP="00B21CB0">
            <w:pPr>
              <w:contextualSpacing/>
              <w:jc w:val="center"/>
              <w:rPr>
                <w:rFonts w:ascii="Times New Roman" w:hAnsi="Times New Roman" w:cs="Times New Roman"/>
                <w:sz w:val="24"/>
                <w:szCs w:val="24"/>
              </w:rPr>
            </w:pPr>
            <w:r>
              <w:rPr>
                <w:rFonts w:ascii="Times New Roman" w:hAnsi="Times New Roman" w:cs="Times New Roman"/>
                <w:sz w:val="24"/>
                <w:szCs w:val="24"/>
              </w:rPr>
              <w:t>Last Month</w:t>
            </w:r>
          </w:p>
        </w:tc>
      </w:tr>
      <w:tr w:rsidR="00B21CB0" w14:paraId="63177721" w14:textId="0E1B569A" w:rsidTr="00B21CB0">
        <w:tc>
          <w:tcPr>
            <w:tcW w:w="2399" w:type="dxa"/>
          </w:tcPr>
          <w:p w14:paraId="76A0D8E0" w14:textId="70FEBE3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1996</w:t>
            </w:r>
          </w:p>
        </w:tc>
        <w:tc>
          <w:tcPr>
            <w:tcW w:w="2475" w:type="dxa"/>
          </w:tcPr>
          <w:p w14:paraId="13AD0349" w14:textId="7AD139EE"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6F63CF60" w14:textId="079B8F0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1996</w:t>
            </w:r>
          </w:p>
        </w:tc>
        <w:tc>
          <w:tcPr>
            <w:tcW w:w="2238" w:type="dxa"/>
          </w:tcPr>
          <w:p w14:paraId="49D5F935" w14:textId="429B151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Feb 2000</w:t>
            </w:r>
          </w:p>
        </w:tc>
      </w:tr>
      <w:tr w:rsidR="00B21CB0" w14:paraId="05950E0B" w14:textId="30C646FD" w:rsidTr="00B21CB0">
        <w:tc>
          <w:tcPr>
            <w:tcW w:w="2399" w:type="dxa"/>
          </w:tcPr>
          <w:p w14:paraId="16422480" w14:textId="5756B9D2"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2001</w:t>
            </w:r>
          </w:p>
        </w:tc>
        <w:tc>
          <w:tcPr>
            <w:tcW w:w="2475" w:type="dxa"/>
          </w:tcPr>
          <w:p w14:paraId="027F117A" w14:textId="35238328"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8</w:t>
            </w:r>
          </w:p>
        </w:tc>
        <w:tc>
          <w:tcPr>
            <w:tcW w:w="2238" w:type="dxa"/>
          </w:tcPr>
          <w:p w14:paraId="5FCE3A07" w14:textId="53917F7B"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2000</w:t>
            </w:r>
          </w:p>
        </w:tc>
        <w:tc>
          <w:tcPr>
            <w:tcW w:w="2238" w:type="dxa"/>
          </w:tcPr>
          <w:p w14:paraId="419E1E7E" w14:textId="1CAAFEF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2003</w:t>
            </w:r>
          </w:p>
        </w:tc>
      </w:tr>
      <w:tr w:rsidR="00B21CB0" w14:paraId="1B5B75FB" w14:textId="77777777" w:rsidTr="00B21CB0">
        <w:tc>
          <w:tcPr>
            <w:tcW w:w="2399" w:type="dxa"/>
          </w:tcPr>
          <w:p w14:paraId="62C15062" w14:textId="553EB2AA"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2004</w:t>
            </w:r>
          </w:p>
        </w:tc>
        <w:tc>
          <w:tcPr>
            <w:tcW w:w="2475" w:type="dxa"/>
          </w:tcPr>
          <w:p w14:paraId="2D35AC53" w14:textId="317260D0"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12</w:t>
            </w:r>
          </w:p>
        </w:tc>
        <w:tc>
          <w:tcPr>
            <w:tcW w:w="2238" w:type="dxa"/>
          </w:tcPr>
          <w:p w14:paraId="7F20B521" w14:textId="00E3C36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Oct 2003</w:t>
            </w:r>
          </w:p>
        </w:tc>
        <w:tc>
          <w:tcPr>
            <w:tcW w:w="2238" w:type="dxa"/>
          </w:tcPr>
          <w:p w14:paraId="24D1B00C" w14:textId="69F5C57D"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 xml:space="preserve">Dec 2007  </w:t>
            </w:r>
          </w:p>
        </w:tc>
      </w:tr>
      <w:tr w:rsidR="00B21CB0" w14:paraId="68E09489" w14:textId="77777777" w:rsidTr="00B21CB0">
        <w:tc>
          <w:tcPr>
            <w:tcW w:w="2399" w:type="dxa"/>
          </w:tcPr>
          <w:p w14:paraId="4BC60B4C" w14:textId="761B327C"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2008</w:t>
            </w:r>
          </w:p>
        </w:tc>
        <w:tc>
          <w:tcPr>
            <w:tcW w:w="2475" w:type="dxa"/>
          </w:tcPr>
          <w:p w14:paraId="07AC3782" w14:textId="41D6A8C6"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16</w:t>
            </w:r>
          </w:p>
        </w:tc>
        <w:tc>
          <w:tcPr>
            <w:tcW w:w="2238" w:type="dxa"/>
          </w:tcPr>
          <w:p w14:paraId="74DA21FB" w14:textId="56256FC9"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May 2008</w:t>
            </w:r>
          </w:p>
        </w:tc>
        <w:tc>
          <w:tcPr>
            <w:tcW w:w="2238" w:type="dxa"/>
          </w:tcPr>
          <w:p w14:paraId="6F569D61" w14:textId="65DFCBC1" w:rsidR="00B21CB0" w:rsidRDefault="00B21CB0" w:rsidP="00B21CB0">
            <w:pPr>
              <w:contextualSpacing/>
              <w:jc w:val="right"/>
              <w:rPr>
                <w:rFonts w:ascii="Times New Roman" w:hAnsi="Times New Roman" w:cs="Times New Roman"/>
                <w:sz w:val="24"/>
                <w:szCs w:val="24"/>
              </w:rPr>
            </w:pPr>
            <w:r>
              <w:rPr>
                <w:rFonts w:ascii="Times New Roman" w:hAnsi="Times New Roman" w:cs="Times New Roman"/>
                <w:sz w:val="24"/>
                <w:szCs w:val="24"/>
              </w:rPr>
              <w:t>Dec 2013</w:t>
            </w:r>
          </w:p>
        </w:tc>
      </w:tr>
    </w:tbl>
    <w:p w14:paraId="7A58AF6C" w14:textId="77777777" w:rsidR="00B21CB0" w:rsidRDefault="00B21CB0">
      <w:pPr>
        <w:contextualSpacing/>
        <w:rPr>
          <w:rFonts w:ascii="Times New Roman" w:hAnsi="Times New Roman" w:cs="Times New Roman"/>
          <w:sz w:val="24"/>
          <w:szCs w:val="24"/>
        </w:rPr>
      </w:pPr>
    </w:p>
    <w:p w14:paraId="0DCE0E0F" w14:textId="182CA3FD" w:rsidR="00AE475A" w:rsidRDefault="006263F2">
      <w:pPr>
        <w:contextualSpacing/>
        <w:rPr>
          <w:rFonts w:ascii="Times New Roman" w:hAnsi="Times New Roman" w:cs="Times New Roman"/>
          <w:sz w:val="24"/>
          <w:szCs w:val="24"/>
        </w:rPr>
      </w:pPr>
      <w:r>
        <w:rPr>
          <w:rFonts w:ascii="Times New Roman" w:hAnsi="Times New Roman" w:cs="Times New Roman"/>
          <w:sz w:val="24"/>
          <w:szCs w:val="24"/>
        </w:rPr>
        <w:tab/>
        <w:t xml:space="preserve">The sample used in this paper includes 2,817 unique persons and 103,624 person-month observations. This sample was constructed from all women aged 24 to 45 who gave birth during the </w:t>
      </w:r>
      <w:r w:rsidR="00FC18D9">
        <w:rPr>
          <w:rFonts w:ascii="Times New Roman" w:hAnsi="Times New Roman" w:cs="Times New Roman"/>
          <w:sz w:val="24"/>
          <w:szCs w:val="24"/>
        </w:rPr>
        <w:t>time coverage of the SIPP panel and lived within one of the treatment or control states.</w:t>
      </w:r>
      <w:r w:rsidR="000C573A">
        <w:rPr>
          <w:rFonts w:ascii="Times New Roman" w:hAnsi="Times New Roman" w:cs="Times New Roman"/>
          <w:sz w:val="24"/>
          <w:szCs w:val="24"/>
        </w:rPr>
        <w:t xml:space="preserve"> </w:t>
      </w:r>
    </w:p>
    <w:p w14:paraId="73E70D65" w14:textId="01F9CB90" w:rsidR="006263F2" w:rsidRDefault="006263F2">
      <w:pPr>
        <w:contextualSpacing/>
        <w:rPr>
          <w:rFonts w:ascii="Times New Roman" w:hAnsi="Times New Roman" w:cs="Times New Roman"/>
          <w:sz w:val="24"/>
          <w:szCs w:val="24"/>
        </w:rPr>
      </w:pPr>
    </w:p>
    <w:p w14:paraId="70A5CFF0"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Unique Individual Counts by State and Year</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FC18D9" w:rsidRPr="00741380" w14:paraId="319E8B26" w14:textId="77777777" w:rsidTr="001E4926">
        <w:tc>
          <w:tcPr>
            <w:tcW w:w="1335" w:type="dxa"/>
          </w:tcPr>
          <w:p w14:paraId="24272718" w14:textId="77777777" w:rsidR="00FC18D9" w:rsidRPr="00741380" w:rsidRDefault="00FC18D9" w:rsidP="001E4926">
            <w:pPr>
              <w:contextualSpacing/>
              <w:rPr>
                <w:rFonts w:ascii="Times New Roman" w:hAnsi="Times New Roman" w:cs="Times New Roman"/>
                <w:sz w:val="24"/>
                <w:szCs w:val="24"/>
              </w:rPr>
            </w:pPr>
          </w:p>
        </w:tc>
        <w:tc>
          <w:tcPr>
            <w:tcW w:w="1335" w:type="dxa"/>
          </w:tcPr>
          <w:p w14:paraId="0D1395C5"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California</w:t>
            </w:r>
          </w:p>
        </w:tc>
        <w:tc>
          <w:tcPr>
            <w:tcW w:w="1336" w:type="dxa"/>
          </w:tcPr>
          <w:p w14:paraId="43655612"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Florida</w:t>
            </w:r>
          </w:p>
        </w:tc>
        <w:tc>
          <w:tcPr>
            <w:tcW w:w="1336" w:type="dxa"/>
          </w:tcPr>
          <w:p w14:paraId="21A3D086"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Jersey</w:t>
            </w:r>
          </w:p>
        </w:tc>
        <w:tc>
          <w:tcPr>
            <w:tcW w:w="1336" w:type="dxa"/>
          </w:tcPr>
          <w:p w14:paraId="2483724F"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New York</w:t>
            </w:r>
          </w:p>
        </w:tc>
        <w:tc>
          <w:tcPr>
            <w:tcW w:w="1336" w:type="dxa"/>
          </w:tcPr>
          <w:p w14:paraId="61C4FB11"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Texas</w:t>
            </w:r>
          </w:p>
        </w:tc>
        <w:tc>
          <w:tcPr>
            <w:tcW w:w="1336" w:type="dxa"/>
          </w:tcPr>
          <w:p w14:paraId="5CE0A81F" w14:textId="77777777" w:rsidR="00FC18D9" w:rsidRPr="00741380" w:rsidRDefault="00FC18D9" w:rsidP="001E4926">
            <w:pPr>
              <w:contextualSpacing/>
              <w:rPr>
                <w:rFonts w:ascii="Times New Roman" w:hAnsi="Times New Roman" w:cs="Times New Roman"/>
                <w:sz w:val="24"/>
                <w:szCs w:val="24"/>
              </w:rPr>
            </w:pPr>
          </w:p>
        </w:tc>
      </w:tr>
      <w:tr w:rsidR="00FC18D9" w:rsidRPr="00741380" w14:paraId="29AA7510" w14:textId="77777777" w:rsidTr="001E4926">
        <w:tc>
          <w:tcPr>
            <w:tcW w:w="1335" w:type="dxa"/>
          </w:tcPr>
          <w:p w14:paraId="2A4CFB23"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Year</w:t>
            </w:r>
          </w:p>
        </w:tc>
        <w:tc>
          <w:tcPr>
            <w:tcW w:w="1335" w:type="dxa"/>
          </w:tcPr>
          <w:p w14:paraId="664B2862" w14:textId="77777777" w:rsidR="00FC18D9" w:rsidRPr="00741380" w:rsidRDefault="00FC18D9" w:rsidP="001E4926">
            <w:pPr>
              <w:contextualSpacing/>
              <w:rPr>
                <w:rFonts w:ascii="Times New Roman" w:hAnsi="Times New Roman" w:cs="Times New Roman"/>
                <w:sz w:val="24"/>
                <w:szCs w:val="24"/>
              </w:rPr>
            </w:pPr>
          </w:p>
        </w:tc>
        <w:tc>
          <w:tcPr>
            <w:tcW w:w="1336" w:type="dxa"/>
          </w:tcPr>
          <w:p w14:paraId="6C591A0E" w14:textId="77777777" w:rsidR="00FC18D9" w:rsidRPr="00741380" w:rsidRDefault="00FC18D9" w:rsidP="001E4926">
            <w:pPr>
              <w:contextualSpacing/>
              <w:rPr>
                <w:rFonts w:ascii="Times New Roman" w:hAnsi="Times New Roman" w:cs="Times New Roman"/>
                <w:sz w:val="24"/>
                <w:szCs w:val="24"/>
              </w:rPr>
            </w:pPr>
          </w:p>
        </w:tc>
        <w:tc>
          <w:tcPr>
            <w:tcW w:w="1336" w:type="dxa"/>
          </w:tcPr>
          <w:p w14:paraId="31497EDA" w14:textId="77777777" w:rsidR="00FC18D9" w:rsidRPr="00741380" w:rsidRDefault="00FC18D9" w:rsidP="001E4926">
            <w:pPr>
              <w:contextualSpacing/>
              <w:rPr>
                <w:rFonts w:ascii="Times New Roman" w:hAnsi="Times New Roman" w:cs="Times New Roman"/>
                <w:sz w:val="24"/>
                <w:szCs w:val="24"/>
              </w:rPr>
            </w:pPr>
          </w:p>
        </w:tc>
        <w:tc>
          <w:tcPr>
            <w:tcW w:w="1336" w:type="dxa"/>
          </w:tcPr>
          <w:p w14:paraId="6B943D18" w14:textId="77777777" w:rsidR="00FC18D9" w:rsidRPr="00741380" w:rsidRDefault="00FC18D9" w:rsidP="001E4926">
            <w:pPr>
              <w:contextualSpacing/>
              <w:rPr>
                <w:rFonts w:ascii="Times New Roman" w:hAnsi="Times New Roman" w:cs="Times New Roman"/>
                <w:sz w:val="24"/>
                <w:szCs w:val="24"/>
              </w:rPr>
            </w:pPr>
          </w:p>
        </w:tc>
        <w:tc>
          <w:tcPr>
            <w:tcW w:w="1336" w:type="dxa"/>
          </w:tcPr>
          <w:p w14:paraId="30F8C1FF" w14:textId="77777777" w:rsidR="00FC18D9" w:rsidRPr="00741380" w:rsidRDefault="00FC18D9" w:rsidP="001E4926">
            <w:pPr>
              <w:contextualSpacing/>
              <w:rPr>
                <w:rFonts w:ascii="Times New Roman" w:hAnsi="Times New Roman" w:cs="Times New Roman"/>
                <w:sz w:val="24"/>
                <w:szCs w:val="24"/>
              </w:rPr>
            </w:pPr>
          </w:p>
        </w:tc>
        <w:tc>
          <w:tcPr>
            <w:tcW w:w="1336" w:type="dxa"/>
          </w:tcPr>
          <w:p w14:paraId="52372C47"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r>
      <w:tr w:rsidR="00FC18D9" w:rsidRPr="00741380" w14:paraId="121131A5" w14:textId="77777777" w:rsidTr="001E4926">
        <w:tc>
          <w:tcPr>
            <w:tcW w:w="1335" w:type="dxa"/>
          </w:tcPr>
          <w:p w14:paraId="0B59B5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1995</w:t>
            </w:r>
          </w:p>
        </w:tc>
        <w:tc>
          <w:tcPr>
            <w:tcW w:w="1335" w:type="dxa"/>
          </w:tcPr>
          <w:p w14:paraId="0B916B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62</w:t>
            </w:r>
          </w:p>
        </w:tc>
        <w:tc>
          <w:tcPr>
            <w:tcW w:w="1336" w:type="dxa"/>
          </w:tcPr>
          <w:p w14:paraId="64DF0F6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w:t>
            </w:r>
          </w:p>
        </w:tc>
        <w:tc>
          <w:tcPr>
            <w:tcW w:w="1336" w:type="dxa"/>
          </w:tcPr>
          <w:p w14:paraId="5C5E787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w:t>
            </w:r>
          </w:p>
        </w:tc>
        <w:tc>
          <w:tcPr>
            <w:tcW w:w="1336" w:type="dxa"/>
          </w:tcPr>
          <w:p w14:paraId="2F3F96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43</w:t>
            </w:r>
          </w:p>
        </w:tc>
        <w:tc>
          <w:tcPr>
            <w:tcW w:w="1336" w:type="dxa"/>
          </w:tcPr>
          <w:p w14:paraId="3584BFA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40B8F1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195</w:t>
            </w:r>
          </w:p>
        </w:tc>
      </w:tr>
      <w:tr w:rsidR="00FC18D9" w:rsidRPr="00741380" w14:paraId="02CDE5FC" w14:textId="77777777" w:rsidTr="001E4926">
        <w:tc>
          <w:tcPr>
            <w:tcW w:w="1335" w:type="dxa"/>
          </w:tcPr>
          <w:p w14:paraId="38AA2FC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1996</w:t>
            </w:r>
          </w:p>
        </w:tc>
        <w:tc>
          <w:tcPr>
            <w:tcW w:w="1335" w:type="dxa"/>
          </w:tcPr>
          <w:p w14:paraId="73F7BEE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319</w:t>
            </w:r>
          </w:p>
        </w:tc>
        <w:tc>
          <w:tcPr>
            <w:tcW w:w="1336" w:type="dxa"/>
          </w:tcPr>
          <w:p w14:paraId="0263AD6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105</w:t>
            </w:r>
          </w:p>
        </w:tc>
        <w:tc>
          <w:tcPr>
            <w:tcW w:w="1336" w:type="dxa"/>
          </w:tcPr>
          <w:p w14:paraId="45007AF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3E7A7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166</w:t>
            </w:r>
          </w:p>
        </w:tc>
        <w:tc>
          <w:tcPr>
            <w:tcW w:w="1336" w:type="dxa"/>
          </w:tcPr>
          <w:p w14:paraId="7B2202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211</w:t>
            </w:r>
          </w:p>
        </w:tc>
        <w:tc>
          <w:tcPr>
            <w:tcW w:w="1336" w:type="dxa"/>
          </w:tcPr>
          <w:p w14:paraId="62BCDF4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2A69D7DE" w14:textId="77777777" w:rsidTr="001E4926">
        <w:tc>
          <w:tcPr>
            <w:tcW w:w="1335" w:type="dxa"/>
          </w:tcPr>
          <w:p w14:paraId="2FFCA3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1997</w:t>
            </w:r>
          </w:p>
        </w:tc>
        <w:tc>
          <w:tcPr>
            <w:tcW w:w="1335" w:type="dxa"/>
          </w:tcPr>
          <w:p w14:paraId="0A1767B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318</w:t>
            </w:r>
          </w:p>
        </w:tc>
        <w:tc>
          <w:tcPr>
            <w:tcW w:w="1336" w:type="dxa"/>
          </w:tcPr>
          <w:p w14:paraId="3EF3C3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107</w:t>
            </w:r>
          </w:p>
        </w:tc>
        <w:tc>
          <w:tcPr>
            <w:tcW w:w="1336" w:type="dxa"/>
          </w:tcPr>
          <w:p w14:paraId="28968F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3311908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43E2278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216</w:t>
            </w:r>
          </w:p>
        </w:tc>
        <w:tc>
          <w:tcPr>
            <w:tcW w:w="1336" w:type="dxa"/>
          </w:tcPr>
          <w:p w14:paraId="5612CDB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873</w:t>
            </w:r>
          </w:p>
        </w:tc>
      </w:tr>
      <w:tr w:rsidR="00FC18D9" w:rsidRPr="00741380" w14:paraId="1371DB65" w14:textId="77777777" w:rsidTr="001E4926">
        <w:tc>
          <w:tcPr>
            <w:tcW w:w="1335" w:type="dxa"/>
          </w:tcPr>
          <w:p w14:paraId="398B2DF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1998</w:t>
            </w:r>
          </w:p>
        </w:tc>
        <w:tc>
          <w:tcPr>
            <w:tcW w:w="1335" w:type="dxa"/>
          </w:tcPr>
          <w:p w14:paraId="2B6E96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303</w:t>
            </w:r>
          </w:p>
        </w:tc>
        <w:tc>
          <w:tcPr>
            <w:tcW w:w="1336" w:type="dxa"/>
          </w:tcPr>
          <w:p w14:paraId="4C7D45D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97</w:t>
            </w:r>
          </w:p>
        </w:tc>
        <w:tc>
          <w:tcPr>
            <w:tcW w:w="1336" w:type="dxa"/>
          </w:tcPr>
          <w:p w14:paraId="7CEDC3D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68</w:t>
            </w:r>
          </w:p>
        </w:tc>
        <w:tc>
          <w:tcPr>
            <w:tcW w:w="1336" w:type="dxa"/>
          </w:tcPr>
          <w:p w14:paraId="487DF9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151</w:t>
            </w:r>
          </w:p>
        </w:tc>
        <w:tc>
          <w:tcPr>
            <w:tcW w:w="1336" w:type="dxa"/>
          </w:tcPr>
          <w:p w14:paraId="23E9BA3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208</w:t>
            </w:r>
          </w:p>
        </w:tc>
        <w:tc>
          <w:tcPr>
            <w:tcW w:w="1336" w:type="dxa"/>
          </w:tcPr>
          <w:p w14:paraId="58997D8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823</w:t>
            </w:r>
          </w:p>
        </w:tc>
      </w:tr>
      <w:tr w:rsidR="00FC18D9" w:rsidRPr="00741380" w14:paraId="5113E33F" w14:textId="77777777" w:rsidTr="001E4926">
        <w:tc>
          <w:tcPr>
            <w:tcW w:w="1335" w:type="dxa"/>
          </w:tcPr>
          <w:p w14:paraId="11FA776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lastRenderedPageBreak/>
              <w:t>1999</w:t>
            </w:r>
          </w:p>
        </w:tc>
        <w:tc>
          <w:tcPr>
            <w:tcW w:w="1335" w:type="dxa"/>
          </w:tcPr>
          <w:p w14:paraId="50C274D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283</w:t>
            </w:r>
          </w:p>
        </w:tc>
        <w:tc>
          <w:tcPr>
            <w:tcW w:w="1336" w:type="dxa"/>
          </w:tcPr>
          <w:p w14:paraId="4F0A3E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87</w:t>
            </w:r>
          </w:p>
        </w:tc>
        <w:tc>
          <w:tcPr>
            <w:tcW w:w="1336" w:type="dxa"/>
          </w:tcPr>
          <w:p w14:paraId="56FBEEB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64</w:t>
            </w:r>
          </w:p>
        </w:tc>
        <w:tc>
          <w:tcPr>
            <w:tcW w:w="1336" w:type="dxa"/>
          </w:tcPr>
          <w:p w14:paraId="1A01A27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4BC2B41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185</w:t>
            </w:r>
          </w:p>
        </w:tc>
        <w:tc>
          <w:tcPr>
            <w:tcW w:w="1336" w:type="dxa"/>
          </w:tcPr>
          <w:p w14:paraId="07833E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758</w:t>
            </w:r>
          </w:p>
        </w:tc>
      </w:tr>
      <w:tr w:rsidR="00FC18D9" w:rsidRPr="00741380" w14:paraId="3A2A9899" w14:textId="77777777" w:rsidTr="001E4926">
        <w:tc>
          <w:tcPr>
            <w:tcW w:w="1335" w:type="dxa"/>
          </w:tcPr>
          <w:p w14:paraId="0301CD5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2000</w:t>
            </w:r>
          </w:p>
        </w:tc>
        <w:tc>
          <w:tcPr>
            <w:tcW w:w="1335" w:type="dxa"/>
          </w:tcPr>
          <w:p w14:paraId="772F5A3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282</w:t>
            </w:r>
          </w:p>
        </w:tc>
        <w:tc>
          <w:tcPr>
            <w:tcW w:w="1336" w:type="dxa"/>
          </w:tcPr>
          <w:p w14:paraId="6EA416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95</w:t>
            </w:r>
          </w:p>
        </w:tc>
        <w:tc>
          <w:tcPr>
            <w:tcW w:w="1336" w:type="dxa"/>
          </w:tcPr>
          <w:p w14:paraId="2811FAB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w:t>
            </w:r>
          </w:p>
        </w:tc>
        <w:tc>
          <w:tcPr>
            <w:tcW w:w="1336" w:type="dxa"/>
          </w:tcPr>
          <w:p w14:paraId="54CD0BF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145</w:t>
            </w:r>
          </w:p>
        </w:tc>
        <w:tc>
          <w:tcPr>
            <w:tcW w:w="1336" w:type="dxa"/>
          </w:tcPr>
          <w:p w14:paraId="5951AE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2DAF53B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787</w:t>
            </w:r>
          </w:p>
        </w:tc>
      </w:tr>
      <w:tr w:rsidR="00FC18D9" w:rsidRPr="00741380" w14:paraId="68E148F5" w14:textId="77777777" w:rsidTr="001E4926">
        <w:tc>
          <w:tcPr>
            <w:tcW w:w="1335" w:type="dxa"/>
          </w:tcPr>
          <w:p w14:paraId="0F2D039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2001</w:t>
            </w:r>
          </w:p>
        </w:tc>
        <w:tc>
          <w:tcPr>
            <w:tcW w:w="1335" w:type="dxa"/>
          </w:tcPr>
          <w:p w14:paraId="4CF09CA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207</w:t>
            </w:r>
          </w:p>
        </w:tc>
        <w:tc>
          <w:tcPr>
            <w:tcW w:w="1336" w:type="dxa"/>
          </w:tcPr>
          <w:p w14:paraId="45B6FE8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76</w:t>
            </w:r>
          </w:p>
        </w:tc>
        <w:tc>
          <w:tcPr>
            <w:tcW w:w="1336" w:type="dxa"/>
          </w:tcPr>
          <w:p w14:paraId="185024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w:t>
            </w:r>
          </w:p>
        </w:tc>
        <w:tc>
          <w:tcPr>
            <w:tcW w:w="1336" w:type="dxa"/>
          </w:tcPr>
          <w:p w14:paraId="558466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106</w:t>
            </w:r>
          </w:p>
        </w:tc>
        <w:tc>
          <w:tcPr>
            <w:tcW w:w="1336" w:type="dxa"/>
          </w:tcPr>
          <w:p w14:paraId="535E5E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149</w:t>
            </w:r>
          </w:p>
        </w:tc>
        <w:tc>
          <w:tcPr>
            <w:tcW w:w="1336" w:type="dxa"/>
          </w:tcPr>
          <w:p w14:paraId="6665C2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583</w:t>
            </w:r>
          </w:p>
        </w:tc>
      </w:tr>
      <w:tr w:rsidR="00FC18D9" w:rsidRPr="00741380" w14:paraId="06CEEB71" w14:textId="77777777" w:rsidTr="001E4926">
        <w:tc>
          <w:tcPr>
            <w:tcW w:w="1335" w:type="dxa"/>
          </w:tcPr>
          <w:p w14:paraId="25B8CC0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2002</w:t>
            </w:r>
          </w:p>
        </w:tc>
        <w:tc>
          <w:tcPr>
            <w:tcW w:w="1335" w:type="dxa"/>
          </w:tcPr>
          <w:p w14:paraId="3D77E70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3BE70A7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77</w:t>
            </w:r>
          </w:p>
        </w:tc>
        <w:tc>
          <w:tcPr>
            <w:tcW w:w="1336" w:type="dxa"/>
          </w:tcPr>
          <w:p w14:paraId="2989CBB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44</w:t>
            </w:r>
          </w:p>
        </w:tc>
        <w:tc>
          <w:tcPr>
            <w:tcW w:w="1336" w:type="dxa"/>
          </w:tcPr>
          <w:p w14:paraId="26597D8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52309D0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144</w:t>
            </w:r>
          </w:p>
        </w:tc>
        <w:tc>
          <w:tcPr>
            <w:tcW w:w="1336" w:type="dxa"/>
          </w:tcPr>
          <w:p w14:paraId="2E04BCE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562</w:t>
            </w:r>
          </w:p>
        </w:tc>
      </w:tr>
      <w:tr w:rsidR="00FC18D9" w:rsidRPr="00741380" w14:paraId="50AF0F1A" w14:textId="77777777" w:rsidTr="001E4926">
        <w:tc>
          <w:tcPr>
            <w:tcW w:w="1335" w:type="dxa"/>
          </w:tcPr>
          <w:p w14:paraId="4B2B108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2003</w:t>
            </w:r>
          </w:p>
        </w:tc>
        <w:tc>
          <w:tcPr>
            <w:tcW w:w="1335" w:type="dxa"/>
          </w:tcPr>
          <w:p w14:paraId="4E254FD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341</w:t>
            </w:r>
          </w:p>
        </w:tc>
        <w:tc>
          <w:tcPr>
            <w:tcW w:w="1336" w:type="dxa"/>
          </w:tcPr>
          <w:p w14:paraId="087525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139</w:t>
            </w:r>
          </w:p>
        </w:tc>
        <w:tc>
          <w:tcPr>
            <w:tcW w:w="1336" w:type="dxa"/>
          </w:tcPr>
          <w:p w14:paraId="111963C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161620B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162</w:t>
            </w:r>
          </w:p>
        </w:tc>
        <w:tc>
          <w:tcPr>
            <w:tcW w:w="1336" w:type="dxa"/>
          </w:tcPr>
          <w:p w14:paraId="69F1C84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234</w:t>
            </w:r>
          </w:p>
        </w:tc>
        <w:tc>
          <w:tcPr>
            <w:tcW w:w="1336" w:type="dxa"/>
          </w:tcPr>
          <w:p w14:paraId="7B9CFD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963</w:t>
            </w:r>
          </w:p>
        </w:tc>
      </w:tr>
      <w:tr w:rsidR="00FC18D9" w:rsidRPr="00741380" w14:paraId="65BC2D01" w14:textId="77777777" w:rsidTr="001E4926">
        <w:tc>
          <w:tcPr>
            <w:tcW w:w="1335" w:type="dxa"/>
          </w:tcPr>
          <w:p w14:paraId="66E329E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2004</w:t>
            </w:r>
          </w:p>
        </w:tc>
        <w:tc>
          <w:tcPr>
            <w:tcW w:w="1335" w:type="dxa"/>
            <w:shd w:val="clear" w:color="auto" w:fill="BDD6EE" w:themeFill="accent1" w:themeFillTint="66"/>
          </w:tcPr>
          <w:p w14:paraId="33CAFAA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204</w:t>
            </w:r>
          </w:p>
        </w:tc>
        <w:tc>
          <w:tcPr>
            <w:tcW w:w="1336" w:type="dxa"/>
          </w:tcPr>
          <w:p w14:paraId="0CFF99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99</w:t>
            </w:r>
          </w:p>
        </w:tc>
        <w:tc>
          <w:tcPr>
            <w:tcW w:w="1336" w:type="dxa"/>
          </w:tcPr>
          <w:p w14:paraId="44AE285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w:t>
            </w:r>
          </w:p>
        </w:tc>
        <w:tc>
          <w:tcPr>
            <w:tcW w:w="1336" w:type="dxa"/>
          </w:tcPr>
          <w:p w14:paraId="684D81F7"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007FD91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143</w:t>
            </w:r>
          </w:p>
        </w:tc>
        <w:tc>
          <w:tcPr>
            <w:tcW w:w="1336" w:type="dxa"/>
          </w:tcPr>
          <w:p w14:paraId="43B730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604</w:t>
            </w:r>
          </w:p>
        </w:tc>
      </w:tr>
      <w:tr w:rsidR="00FC18D9" w:rsidRPr="00741380" w14:paraId="597CEE40" w14:textId="77777777" w:rsidTr="001E4926">
        <w:tc>
          <w:tcPr>
            <w:tcW w:w="1335" w:type="dxa"/>
          </w:tcPr>
          <w:p w14:paraId="7F177E7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2005</w:t>
            </w:r>
          </w:p>
        </w:tc>
        <w:tc>
          <w:tcPr>
            <w:tcW w:w="1335" w:type="dxa"/>
            <w:shd w:val="clear" w:color="auto" w:fill="BDD6EE" w:themeFill="accent1" w:themeFillTint="66"/>
          </w:tcPr>
          <w:p w14:paraId="435A914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w:t>
            </w:r>
          </w:p>
        </w:tc>
        <w:tc>
          <w:tcPr>
            <w:tcW w:w="1336" w:type="dxa"/>
          </w:tcPr>
          <w:p w14:paraId="04848E7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96</w:t>
            </w:r>
          </w:p>
        </w:tc>
        <w:tc>
          <w:tcPr>
            <w:tcW w:w="1336" w:type="dxa"/>
          </w:tcPr>
          <w:p w14:paraId="6C592E4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56</w:t>
            </w:r>
          </w:p>
        </w:tc>
        <w:tc>
          <w:tcPr>
            <w:tcW w:w="1336" w:type="dxa"/>
          </w:tcPr>
          <w:p w14:paraId="3450966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2A7EEE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146</w:t>
            </w:r>
          </w:p>
        </w:tc>
        <w:tc>
          <w:tcPr>
            <w:tcW w:w="1336" w:type="dxa"/>
          </w:tcPr>
          <w:p w14:paraId="4F85C25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597</w:t>
            </w:r>
          </w:p>
        </w:tc>
      </w:tr>
      <w:tr w:rsidR="00FC18D9" w:rsidRPr="00741380" w14:paraId="0CD89D25" w14:textId="77777777" w:rsidTr="001E4926">
        <w:tc>
          <w:tcPr>
            <w:tcW w:w="1335" w:type="dxa"/>
          </w:tcPr>
          <w:p w14:paraId="28CCF002"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2006</w:t>
            </w:r>
          </w:p>
        </w:tc>
        <w:tc>
          <w:tcPr>
            <w:tcW w:w="1335" w:type="dxa"/>
            <w:shd w:val="clear" w:color="auto" w:fill="BDD6EE" w:themeFill="accent1" w:themeFillTint="66"/>
          </w:tcPr>
          <w:p w14:paraId="59203F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197</w:t>
            </w:r>
          </w:p>
        </w:tc>
        <w:tc>
          <w:tcPr>
            <w:tcW w:w="1336" w:type="dxa"/>
          </w:tcPr>
          <w:p w14:paraId="453631E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4B25FF2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0BBB566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98</w:t>
            </w:r>
          </w:p>
        </w:tc>
        <w:tc>
          <w:tcPr>
            <w:tcW w:w="1336" w:type="dxa"/>
          </w:tcPr>
          <w:p w14:paraId="2CEDE32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140</w:t>
            </w:r>
          </w:p>
        </w:tc>
        <w:tc>
          <w:tcPr>
            <w:tcW w:w="1336" w:type="dxa"/>
          </w:tcPr>
          <w:p w14:paraId="3D309BD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576</w:t>
            </w:r>
          </w:p>
        </w:tc>
      </w:tr>
      <w:tr w:rsidR="00FC18D9" w:rsidRPr="00741380" w14:paraId="212F425E" w14:textId="77777777" w:rsidTr="001E4926">
        <w:tc>
          <w:tcPr>
            <w:tcW w:w="1335" w:type="dxa"/>
          </w:tcPr>
          <w:p w14:paraId="6D1153D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2007</w:t>
            </w:r>
          </w:p>
        </w:tc>
        <w:tc>
          <w:tcPr>
            <w:tcW w:w="1335" w:type="dxa"/>
            <w:shd w:val="clear" w:color="auto" w:fill="BDD6EE" w:themeFill="accent1" w:themeFillTint="66"/>
          </w:tcPr>
          <w:p w14:paraId="4CC9DF7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127</w:t>
            </w:r>
          </w:p>
        </w:tc>
        <w:tc>
          <w:tcPr>
            <w:tcW w:w="1336" w:type="dxa"/>
          </w:tcPr>
          <w:p w14:paraId="778F481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4ECCEB4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w:t>
            </w:r>
          </w:p>
        </w:tc>
        <w:tc>
          <w:tcPr>
            <w:tcW w:w="1336" w:type="dxa"/>
          </w:tcPr>
          <w:p w14:paraId="266BC01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71</w:t>
            </w:r>
          </w:p>
        </w:tc>
        <w:tc>
          <w:tcPr>
            <w:tcW w:w="1336" w:type="dxa"/>
          </w:tcPr>
          <w:p w14:paraId="0EB5FBE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80</w:t>
            </w:r>
          </w:p>
        </w:tc>
        <w:tc>
          <w:tcPr>
            <w:tcW w:w="1336" w:type="dxa"/>
          </w:tcPr>
          <w:p w14:paraId="768D2E1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372</w:t>
            </w:r>
          </w:p>
        </w:tc>
      </w:tr>
      <w:tr w:rsidR="00FC18D9" w:rsidRPr="00741380" w14:paraId="04147163" w14:textId="77777777" w:rsidTr="001E4926">
        <w:tc>
          <w:tcPr>
            <w:tcW w:w="1335" w:type="dxa"/>
          </w:tcPr>
          <w:p w14:paraId="2D11C13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2008</w:t>
            </w:r>
          </w:p>
        </w:tc>
        <w:tc>
          <w:tcPr>
            <w:tcW w:w="1335" w:type="dxa"/>
            <w:shd w:val="clear" w:color="auto" w:fill="BDD6EE" w:themeFill="accent1" w:themeFillTint="66"/>
          </w:tcPr>
          <w:p w14:paraId="1D2EA6F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222</w:t>
            </w:r>
          </w:p>
        </w:tc>
        <w:tc>
          <w:tcPr>
            <w:tcW w:w="1336" w:type="dxa"/>
          </w:tcPr>
          <w:p w14:paraId="21C7090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6BB1073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74</w:t>
            </w:r>
          </w:p>
        </w:tc>
        <w:tc>
          <w:tcPr>
            <w:tcW w:w="1336" w:type="dxa"/>
          </w:tcPr>
          <w:p w14:paraId="016F788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tcPr>
          <w:p w14:paraId="2C6F333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150</w:t>
            </w:r>
          </w:p>
        </w:tc>
        <w:tc>
          <w:tcPr>
            <w:tcW w:w="1336" w:type="dxa"/>
          </w:tcPr>
          <w:p w14:paraId="410BFDC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618</w:t>
            </w:r>
          </w:p>
        </w:tc>
      </w:tr>
      <w:tr w:rsidR="00FC18D9" w:rsidRPr="00741380" w14:paraId="1F3AB823" w14:textId="77777777" w:rsidTr="001E4926">
        <w:tc>
          <w:tcPr>
            <w:tcW w:w="1335" w:type="dxa"/>
          </w:tcPr>
          <w:p w14:paraId="1F4E9EE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2009</w:t>
            </w:r>
          </w:p>
        </w:tc>
        <w:tc>
          <w:tcPr>
            <w:tcW w:w="1335" w:type="dxa"/>
            <w:shd w:val="clear" w:color="auto" w:fill="BDD6EE" w:themeFill="accent1" w:themeFillTint="66"/>
          </w:tcPr>
          <w:p w14:paraId="2633101C"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225</w:t>
            </w:r>
          </w:p>
        </w:tc>
        <w:tc>
          <w:tcPr>
            <w:tcW w:w="1336" w:type="dxa"/>
          </w:tcPr>
          <w:p w14:paraId="0FFDD63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85</w:t>
            </w:r>
          </w:p>
        </w:tc>
        <w:tc>
          <w:tcPr>
            <w:tcW w:w="1336" w:type="dxa"/>
            <w:shd w:val="clear" w:color="auto" w:fill="BDD6EE" w:themeFill="accent1" w:themeFillTint="66"/>
          </w:tcPr>
          <w:p w14:paraId="1810DA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75</w:t>
            </w:r>
          </w:p>
        </w:tc>
        <w:tc>
          <w:tcPr>
            <w:tcW w:w="1336" w:type="dxa"/>
          </w:tcPr>
          <w:p w14:paraId="59A3A8A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91</w:t>
            </w:r>
          </w:p>
        </w:tc>
        <w:tc>
          <w:tcPr>
            <w:tcW w:w="1336" w:type="dxa"/>
          </w:tcPr>
          <w:p w14:paraId="7689C00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160</w:t>
            </w:r>
          </w:p>
        </w:tc>
        <w:tc>
          <w:tcPr>
            <w:tcW w:w="1336" w:type="dxa"/>
          </w:tcPr>
          <w:p w14:paraId="1D995AB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631</w:t>
            </w:r>
          </w:p>
        </w:tc>
      </w:tr>
      <w:tr w:rsidR="00FC18D9" w:rsidRPr="00741380" w14:paraId="5E83FA61" w14:textId="77777777" w:rsidTr="001E4926">
        <w:tc>
          <w:tcPr>
            <w:tcW w:w="1335" w:type="dxa"/>
          </w:tcPr>
          <w:p w14:paraId="2AB6E86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2010</w:t>
            </w:r>
          </w:p>
        </w:tc>
        <w:tc>
          <w:tcPr>
            <w:tcW w:w="1335" w:type="dxa"/>
            <w:shd w:val="clear" w:color="auto" w:fill="BDD6EE" w:themeFill="accent1" w:themeFillTint="66"/>
          </w:tcPr>
          <w:p w14:paraId="45FDF75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220</w:t>
            </w:r>
          </w:p>
        </w:tc>
        <w:tc>
          <w:tcPr>
            <w:tcW w:w="1336" w:type="dxa"/>
          </w:tcPr>
          <w:p w14:paraId="3B072C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86</w:t>
            </w:r>
          </w:p>
        </w:tc>
        <w:tc>
          <w:tcPr>
            <w:tcW w:w="1336" w:type="dxa"/>
            <w:shd w:val="clear" w:color="auto" w:fill="BDD6EE" w:themeFill="accent1" w:themeFillTint="66"/>
          </w:tcPr>
          <w:p w14:paraId="1D3AB846"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73</w:t>
            </w:r>
          </w:p>
        </w:tc>
        <w:tc>
          <w:tcPr>
            <w:tcW w:w="1336" w:type="dxa"/>
          </w:tcPr>
          <w:p w14:paraId="70BC216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90</w:t>
            </w:r>
          </w:p>
        </w:tc>
        <w:tc>
          <w:tcPr>
            <w:tcW w:w="1336" w:type="dxa"/>
          </w:tcPr>
          <w:p w14:paraId="7C5A73A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163</w:t>
            </w:r>
          </w:p>
        </w:tc>
        <w:tc>
          <w:tcPr>
            <w:tcW w:w="1336" w:type="dxa"/>
          </w:tcPr>
          <w:p w14:paraId="3514155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630</w:t>
            </w:r>
          </w:p>
        </w:tc>
      </w:tr>
      <w:tr w:rsidR="00FC18D9" w:rsidRPr="00741380" w14:paraId="7B5025E6" w14:textId="77777777" w:rsidTr="001E4926">
        <w:tc>
          <w:tcPr>
            <w:tcW w:w="1335" w:type="dxa"/>
          </w:tcPr>
          <w:p w14:paraId="08294F88"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2011</w:t>
            </w:r>
          </w:p>
        </w:tc>
        <w:tc>
          <w:tcPr>
            <w:tcW w:w="1335" w:type="dxa"/>
            <w:shd w:val="clear" w:color="auto" w:fill="BDD6EE" w:themeFill="accent1" w:themeFillTint="66"/>
          </w:tcPr>
          <w:p w14:paraId="33DCC4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218</w:t>
            </w:r>
          </w:p>
        </w:tc>
        <w:tc>
          <w:tcPr>
            <w:tcW w:w="1336" w:type="dxa"/>
          </w:tcPr>
          <w:p w14:paraId="376300FB"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shd w:val="clear" w:color="auto" w:fill="BDD6EE" w:themeFill="accent1" w:themeFillTint="66"/>
          </w:tcPr>
          <w:p w14:paraId="6C297C9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69</w:t>
            </w:r>
          </w:p>
        </w:tc>
        <w:tc>
          <w:tcPr>
            <w:tcW w:w="1336" w:type="dxa"/>
          </w:tcPr>
          <w:p w14:paraId="0E9CA94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83</w:t>
            </w:r>
          </w:p>
        </w:tc>
        <w:tc>
          <w:tcPr>
            <w:tcW w:w="1336" w:type="dxa"/>
          </w:tcPr>
          <w:p w14:paraId="2B170A7F"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161</w:t>
            </w:r>
          </w:p>
        </w:tc>
        <w:tc>
          <w:tcPr>
            <w:tcW w:w="1336" w:type="dxa"/>
          </w:tcPr>
          <w:p w14:paraId="2DFA6DB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612</w:t>
            </w:r>
          </w:p>
        </w:tc>
      </w:tr>
      <w:tr w:rsidR="00FC18D9" w:rsidRPr="00741380" w14:paraId="170AFC8D" w14:textId="77777777" w:rsidTr="001E4926">
        <w:tc>
          <w:tcPr>
            <w:tcW w:w="1335" w:type="dxa"/>
          </w:tcPr>
          <w:p w14:paraId="4CCAE4A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2012</w:t>
            </w:r>
          </w:p>
        </w:tc>
        <w:tc>
          <w:tcPr>
            <w:tcW w:w="1335" w:type="dxa"/>
            <w:shd w:val="clear" w:color="auto" w:fill="BDD6EE" w:themeFill="accent1" w:themeFillTint="66"/>
          </w:tcPr>
          <w:p w14:paraId="1EB2134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148</w:t>
            </w:r>
          </w:p>
        </w:tc>
        <w:tc>
          <w:tcPr>
            <w:tcW w:w="1336" w:type="dxa"/>
          </w:tcPr>
          <w:p w14:paraId="3099C735"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51</w:t>
            </w:r>
          </w:p>
        </w:tc>
        <w:tc>
          <w:tcPr>
            <w:tcW w:w="1336" w:type="dxa"/>
            <w:shd w:val="clear" w:color="auto" w:fill="BDD6EE" w:themeFill="accent1" w:themeFillTint="66"/>
          </w:tcPr>
          <w:p w14:paraId="167C1C3D"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41</w:t>
            </w:r>
          </w:p>
        </w:tc>
        <w:tc>
          <w:tcPr>
            <w:tcW w:w="1336" w:type="dxa"/>
          </w:tcPr>
          <w:p w14:paraId="32541DC9"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52</w:t>
            </w:r>
          </w:p>
        </w:tc>
        <w:tc>
          <w:tcPr>
            <w:tcW w:w="1336" w:type="dxa"/>
          </w:tcPr>
          <w:p w14:paraId="600788C0"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103</w:t>
            </w:r>
          </w:p>
        </w:tc>
        <w:tc>
          <w:tcPr>
            <w:tcW w:w="1336" w:type="dxa"/>
          </w:tcPr>
          <w:p w14:paraId="1C161AB3"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395</w:t>
            </w:r>
          </w:p>
        </w:tc>
      </w:tr>
      <w:tr w:rsidR="00FC18D9" w:rsidRPr="00741380" w14:paraId="585BAED6" w14:textId="77777777" w:rsidTr="001E4926">
        <w:tc>
          <w:tcPr>
            <w:tcW w:w="1335" w:type="dxa"/>
          </w:tcPr>
          <w:p w14:paraId="1B87778E" w14:textId="77777777" w:rsidR="00FC18D9" w:rsidRPr="00741380" w:rsidRDefault="00FC18D9" w:rsidP="001E4926">
            <w:pPr>
              <w:contextualSpacing/>
              <w:rPr>
                <w:rFonts w:ascii="Times New Roman" w:hAnsi="Times New Roman" w:cs="Times New Roman"/>
                <w:sz w:val="24"/>
                <w:szCs w:val="24"/>
              </w:rPr>
            </w:pPr>
            <w:r>
              <w:rPr>
                <w:rFonts w:ascii="Times New Roman" w:hAnsi="Times New Roman" w:cs="Times New Roman"/>
                <w:sz w:val="24"/>
                <w:szCs w:val="24"/>
              </w:rPr>
              <w:t>Total</w:t>
            </w:r>
          </w:p>
        </w:tc>
        <w:tc>
          <w:tcPr>
            <w:tcW w:w="1335" w:type="dxa"/>
          </w:tcPr>
          <w:p w14:paraId="37023D4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1002</w:t>
            </w:r>
          </w:p>
        </w:tc>
        <w:tc>
          <w:tcPr>
            <w:tcW w:w="1336" w:type="dxa"/>
          </w:tcPr>
          <w:p w14:paraId="6BF4C91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389</w:t>
            </w:r>
          </w:p>
        </w:tc>
        <w:tc>
          <w:tcPr>
            <w:tcW w:w="1336" w:type="dxa"/>
          </w:tcPr>
          <w:p w14:paraId="28D284F1"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276</w:t>
            </w:r>
          </w:p>
        </w:tc>
        <w:tc>
          <w:tcPr>
            <w:tcW w:w="1336" w:type="dxa"/>
          </w:tcPr>
          <w:p w14:paraId="2F42DD74"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485</w:t>
            </w:r>
          </w:p>
        </w:tc>
        <w:tc>
          <w:tcPr>
            <w:tcW w:w="1336" w:type="dxa"/>
          </w:tcPr>
          <w:p w14:paraId="3336850E"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707</w:t>
            </w:r>
          </w:p>
        </w:tc>
        <w:tc>
          <w:tcPr>
            <w:tcW w:w="1336" w:type="dxa"/>
          </w:tcPr>
          <w:p w14:paraId="4D9B42BA" w14:textId="77777777" w:rsidR="00FC18D9" w:rsidRPr="00741380" w:rsidRDefault="00FC18D9" w:rsidP="001E4926">
            <w:pPr>
              <w:contextualSpacing/>
              <w:rPr>
                <w:rFonts w:ascii="Times New Roman" w:hAnsi="Times New Roman" w:cs="Times New Roman"/>
                <w:sz w:val="24"/>
                <w:szCs w:val="24"/>
              </w:rPr>
            </w:pPr>
            <w:r w:rsidRPr="00741380">
              <w:rPr>
                <w:rFonts w:ascii="Times New Roman" w:hAnsi="Times New Roman" w:cs="Times New Roman"/>
                <w:sz w:val="24"/>
                <w:szCs w:val="24"/>
              </w:rPr>
              <w:t>2817</w:t>
            </w:r>
          </w:p>
        </w:tc>
      </w:tr>
    </w:tbl>
    <w:p w14:paraId="504F3CB4" w14:textId="77777777" w:rsidR="00FC18D9" w:rsidRDefault="00FC18D9" w:rsidP="00FC18D9">
      <w:pPr>
        <w:contextualSpacing/>
        <w:rPr>
          <w:rFonts w:ascii="Times New Roman" w:hAnsi="Times New Roman" w:cs="Times New Roman"/>
          <w:sz w:val="24"/>
          <w:szCs w:val="24"/>
        </w:rPr>
      </w:pPr>
      <w:r>
        <w:rPr>
          <w:rFonts w:ascii="Times New Roman" w:hAnsi="Times New Roman" w:cs="Times New Roman"/>
          <w:sz w:val="24"/>
          <w:szCs w:val="24"/>
        </w:rPr>
        <w:t>(Highlighted values indicate the presence of a paid family leave policy.)</w:t>
      </w:r>
    </w:p>
    <w:p w14:paraId="67030E21" w14:textId="7B41F861" w:rsidR="006263F2" w:rsidRDefault="006263F2">
      <w:pPr>
        <w:contextualSpacing/>
        <w:rPr>
          <w:rFonts w:ascii="Times New Roman" w:hAnsi="Times New Roman" w:cs="Times New Roman"/>
          <w:sz w:val="24"/>
          <w:szCs w:val="24"/>
        </w:rPr>
      </w:pPr>
    </w:p>
    <w:p w14:paraId="2CE2A3C4" w14:textId="77777777" w:rsidR="006263F2" w:rsidRDefault="006263F2">
      <w:pPr>
        <w:contextualSpacing/>
        <w:rPr>
          <w:rFonts w:ascii="Times New Roman" w:hAnsi="Times New Roman" w:cs="Times New Roman"/>
          <w:sz w:val="24"/>
          <w:szCs w:val="24"/>
        </w:rPr>
      </w:pPr>
    </w:p>
    <w:p w14:paraId="36D16231" w14:textId="7A9A4E36" w:rsidR="00C52EF0" w:rsidRDefault="00AE475A">
      <w:pPr>
        <w:contextualSpacing/>
        <w:rPr>
          <w:rFonts w:ascii="Times New Roman" w:hAnsi="Times New Roman" w:cs="Times New Roman"/>
          <w:sz w:val="24"/>
          <w:szCs w:val="24"/>
        </w:rPr>
      </w:pPr>
      <w:r>
        <w:rPr>
          <w:rFonts w:ascii="Times New Roman" w:hAnsi="Times New Roman" w:cs="Times New Roman"/>
          <w:sz w:val="24"/>
          <w:szCs w:val="24"/>
        </w:rPr>
        <w:tab/>
        <w:t xml:space="preserve">Unfortunately, the variable provided by the SIPP for measurement of labor force participation does not differentiate between individuals who are employed and working, and those that are employed and away on leave. </w:t>
      </w:r>
      <w:r w:rsidR="00344D43">
        <w:rPr>
          <w:rFonts w:ascii="Times New Roman" w:hAnsi="Times New Roman" w:cs="Times New Roman"/>
          <w:sz w:val="24"/>
          <w:szCs w:val="24"/>
        </w:rPr>
        <w:t xml:space="preserve">In my analysis, an individual is coded as participating in the labor force for RMESR values of 1 to 7 and not participating for an RMESR value of 8. An individual is coded as working for an RMESR value of 1. An individual is coded as looking for work for RMESR values of 5, 6, and 7. </w:t>
      </w:r>
    </w:p>
    <w:p w14:paraId="033D8666" w14:textId="6A599B8B" w:rsidR="00C52EF0" w:rsidRDefault="00C52EF0">
      <w:pPr>
        <w:contextualSpacing/>
        <w:rPr>
          <w:rFonts w:ascii="Times New Roman" w:hAnsi="Times New Roman" w:cs="Times New Roman"/>
          <w:sz w:val="24"/>
          <w:szCs w:val="24"/>
        </w:rPr>
      </w:pPr>
    </w:p>
    <w:p w14:paraId="143E778D" w14:textId="69432E3D" w:rsidR="006E29F9" w:rsidRDefault="006E29F9">
      <w:pPr>
        <w:contextualSpacing/>
        <w:rPr>
          <w:rFonts w:ascii="Times New Roman" w:hAnsi="Times New Roman" w:cs="Times New Roman"/>
          <w:sz w:val="24"/>
          <w:szCs w:val="24"/>
        </w:rPr>
      </w:pPr>
      <w:r>
        <w:rPr>
          <w:rFonts w:ascii="Times New Roman" w:hAnsi="Times New Roman" w:cs="Times New Roman"/>
          <w:sz w:val="24"/>
          <w:szCs w:val="24"/>
        </w:rPr>
        <w:t>RMESR: Employment status recode for month</w:t>
      </w:r>
    </w:p>
    <w:tbl>
      <w:tblPr>
        <w:tblStyle w:val="TableGrid"/>
        <w:tblW w:w="9586" w:type="dxa"/>
        <w:tblLook w:val="04A0" w:firstRow="1" w:lastRow="0" w:firstColumn="1" w:lastColumn="0" w:noHBand="0" w:noVBand="1"/>
      </w:tblPr>
      <w:tblGrid>
        <w:gridCol w:w="723"/>
        <w:gridCol w:w="7282"/>
        <w:gridCol w:w="1581"/>
      </w:tblGrid>
      <w:tr w:rsidR="00D109C9" w14:paraId="623A12E0" w14:textId="77777777" w:rsidTr="00D109C9">
        <w:tc>
          <w:tcPr>
            <w:tcW w:w="723" w:type="dxa"/>
          </w:tcPr>
          <w:p w14:paraId="32271244" w14:textId="02791BA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Code</w:t>
            </w:r>
          </w:p>
        </w:tc>
        <w:tc>
          <w:tcPr>
            <w:tcW w:w="7282" w:type="dxa"/>
          </w:tcPr>
          <w:p w14:paraId="1FF4858F" w14:textId="77777777" w:rsidR="00D109C9" w:rsidRDefault="00D109C9">
            <w:pPr>
              <w:contextualSpacing/>
              <w:rPr>
                <w:rFonts w:ascii="Times New Roman" w:hAnsi="Times New Roman" w:cs="Times New Roman"/>
                <w:sz w:val="24"/>
                <w:szCs w:val="24"/>
              </w:rPr>
            </w:pPr>
          </w:p>
        </w:tc>
        <w:tc>
          <w:tcPr>
            <w:tcW w:w="1581" w:type="dxa"/>
          </w:tcPr>
          <w:p w14:paraId="02B4840A" w14:textId="2732604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Observations</w:t>
            </w:r>
          </w:p>
        </w:tc>
      </w:tr>
      <w:tr w:rsidR="00D109C9" w14:paraId="35B3AA07" w14:textId="5C888E0B" w:rsidTr="00D109C9">
        <w:tc>
          <w:tcPr>
            <w:tcW w:w="723" w:type="dxa"/>
          </w:tcPr>
          <w:p w14:paraId="4C03C2BA" w14:textId="4053AB21"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1 </w:t>
            </w:r>
          </w:p>
        </w:tc>
        <w:tc>
          <w:tcPr>
            <w:tcW w:w="7282" w:type="dxa"/>
          </w:tcPr>
          <w:p w14:paraId="4752271F" w14:textId="681177EF"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With a job entire month, worked all weeks (includes individuals on paid leave)</w:t>
            </w:r>
          </w:p>
        </w:tc>
        <w:tc>
          <w:tcPr>
            <w:tcW w:w="1581" w:type="dxa"/>
          </w:tcPr>
          <w:p w14:paraId="7DBE14DC" w14:textId="48666AF5"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57,373</w:t>
            </w:r>
          </w:p>
        </w:tc>
      </w:tr>
      <w:tr w:rsidR="00D109C9" w14:paraId="27B58DE8" w14:textId="00332619" w:rsidTr="00D109C9">
        <w:tc>
          <w:tcPr>
            <w:tcW w:w="723" w:type="dxa"/>
          </w:tcPr>
          <w:p w14:paraId="488E993F" w14:textId="01330C08"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2</w:t>
            </w:r>
          </w:p>
        </w:tc>
        <w:tc>
          <w:tcPr>
            <w:tcW w:w="7282" w:type="dxa"/>
          </w:tcPr>
          <w:p w14:paraId="2199E366" w14:textId="4F9929E2"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 xml:space="preserve">With a job entire month, </w:t>
            </w:r>
            <w:r w:rsidRPr="006E29F9">
              <w:rPr>
                <w:rFonts w:ascii="Times New Roman" w:hAnsi="Times New Roman" w:cs="Times New Roman"/>
                <w:sz w:val="24"/>
                <w:szCs w:val="24"/>
              </w:rPr>
              <w:t>absent from work without pay 1+ weeks, absence not due to layoff</w:t>
            </w:r>
          </w:p>
        </w:tc>
        <w:tc>
          <w:tcPr>
            <w:tcW w:w="1581" w:type="dxa"/>
          </w:tcPr>
          <w:p w14:paraId="45494F65" w14:textId="7EE7CD60" w:rsidR="00D109C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2</w:t>
            </w:r>
            <w:r w:rsidR="004C2881">
              <w:rPr>
                <w:rFonts w:ascii="Times New Roman" w:hAnsi="Times New Roman" w:cs="Times New Roman"/>
                <w:sz w:val="24"/>
                <w:szCs w:val="24"/>
              </w:rPr>
              <w:t>,</w:t>
            </w:r>
            <w:r>
              <w:rPr>
                <w:rFonts w:ascii="Times New Roman" w:hAnsi="Times New Roman" w:cs="Times New Roman"/>
                <w:sz w:val="24"/>
                <w:szCs w:val="24"/>
              </w:rPr>
              <w:t>595</w:t>
            </w:r>
          </w:p>
        </w:tc>
      </w:tr>
      <w:tr w:rsidR="00D109C9" w14:paraId="010104B6" w14:textId="2877A605" w:rsidTr="00D109C9">
        <w:tc>
          <w:tcPr>
            <w:tcW w:w="723" w:type="dxa"/>
          </w:tcPr>
          <w:p w14:paraId="7B11CC8D" w14:textId="4AD71376"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3</w:t>
            </w:r>
          </w:p>
        </w:tc>
        <w:tc>
          <w:tcPr>
            <w:tcW w:w="7282" w:type="dxa"/>
          </w:tcPr>
          <w:p w14:paraId="74E1442A" w14:textId="0BE0D1A3"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entire month, absent from work without pay 1+ weeks, absence due to layoff</w:t>
            </w:r>
          </w:p>
        </w:tc>
        <w:tc>
          <w:tcPr>
            <w:tcW w:w="1581" w:type="dxa"/>
          </w:tcPr>
          <w:p w14:paraId="1128C4E4" w14:textId="710AC0B2"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450</w:t>
            </w:r>
          </w:p>
        </w:tc>
      </w:tr>
      <w:tr w:rsidR="00D109C9" w14:paraId="0E2CCC7E" w14:textId="641625B5" w:rsidTr="00D109C9">
        <w:tc>
          <w:tcPr>
            <w:tcW w:w="723" w:type="dxa"/>
          </w:tcPr>
          <w:p w14:paraId="1F1E5A90" w14:textId="38126704"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4</w:t>
            </w:r>
          </w:p>
        </w:tc>
        <w:tc>
          <w:tcPr>
            <w:tcW w:w="7282" w:type="dxa"/>
          </w:tcPr>
          <w:p w14:paraId="6A8512BD" w14:textId="401C53B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no time on layoff and no time looking for work</w:t>
            </w:r>
          </w:p>
        </w:tc>
        <w:tc>
          <w:tcPr>
            <w:tcW w:w="1581" w:type="dxa"/>
          </w:tcPr>
          <w:p w14:paraId="40B18A83" w14:textId="08A0CDE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1148</w:t>
            </w:r>
          </w:p>
        </w:tc>
      </w:tr>
      <w:tr w:rsidR="00D109C9" w14:paraId="3641F48F" w14:textId="761BA3CB" w:rsidTr="00D109C9">
        <w:tc>
          <w:tcPr>
            <w:tcW w:w="723" w:type="dxa"/>
          </w:tcPr>
          <w:p w14:paraId="67ADC840" w14:textId="296E00DD"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5</w:t>
            </w:r>
          </w:p>
        </w:tc>
        <w:tc>
          <w:tcPr>
            <w:tcW w:w="7282" w:type="dxa"/>
          </w:tcPr>
          <w:p w14:paraId="10E82E39" w14:textId="4F450796"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With a job at least 1 but not all weeks, remaining weeks on layoff or looking for work</w:t>
            </w:r>
          </w:p>
        </w:tc>
        <w:tc>
          <w:tcPr>
            <w:tcW w:w="1581" w:type="dxa"/>
          </w:tcPr>
          <w:p w14:paraId="1D67ABA4" w14:textId="665FB9EF"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523</w:t>
            </w:r>
          </w:p>
        </w:tc>
      </w:tr>
      <w:tr w:rsidR="00D109C9" w14:paraId="73764987" w14:textId="2D308706" w:rsidTr="00D109C9">
        <w:tc>
          <w:tcPr>
            <w:tcW w:w="723" w:type="dxa"/>
          </w:tcPr>
          <w:p w14:paraId="1B4FE01A" w14:textId="7C23E3BE"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6</w:t>
            </w:r>
          </w:p>
        </w:tc>
        <w:tc>
          <w:tcPr>
            <w:tcW w:w="7282" w:type="dxa"/>
          </w:tcPr>
          <w:p w14:paraId="62550A3A" w14:textId="77AF8B51"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on layoff or looking for work all weeks</w:t>
            </w:r>
          </w:p>
        </w:tc>
        <w:tc>
          <w:tcPr>
            <w:tcW w:w="1581" w:type="dxa"/>
          </w:tcPr>
          <w:p w14:paraId="39B8BFDB" w14:textId="754F511D"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w:t>
            </w:r>
            <w:r w:rsidR="004C2881">
              <w:rPr>
                <w:rFonts w:ascii="Times New Roman" w:hAnsi="Times New Roman" w:cs="Times New Roman"/>
                <w:sz w:val="24"/>
                <w:szCs w:val="24"/>
              </w:rPr>
              <w:t>,</w:t>
            </w:r>
            <w:r>
              <w:rPr>
                <w:rFonts w:ascii="Times New Roman" w:hAnsi="Times New Roman" w:cs="Times New Roman"/>
                <w:sz w:val="24"/>
                <w:szCs w:val="24"/>
              </w:rPr>
              <w:t>323</w:t>
            </w:r>
          </w:p>
        </w:tc>
      </w:tr>
      <w:tr w:rsidR="00D109C9" w14:paraId="467CD19C" w14:textId="7FA503C1" w:rsidTr="00D109C9">
        <w:tc>
          <w:tcPr>
            <w:tcW w:w="723" w:type="dxa"/>
          </w:tcPr>
          <w:p w14:paraId="1BEFC6EB" w14:textId="07E4D87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7</w:t>
            </w:r>
          </w:p>
        </w:tc>
        <w:tc>
          <w:tcPr>
            <w:tcW w:w="7282" w:type="dxa"/>
          </w:tcPr>
          <w:p w14:paraId="58AED70C" w14:textId="36C1DBAE"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at least one but not all weeks on layoff or looking for work</w:t>
            </w:r>
          </w:p>
        </w:tc>
        <w:tc>
          <w:tcPr>
            <w:tcW w:w="1581" w:type="dxa"/>
          </w:tcPr>
          <w:p w14:paraId="788E0316" w14:textId="0EEC8347"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440</w:t>
            </w:r>
          </w:p>
        </w:tc>
      </w:tr>
      <w:tr w:rsidR="00D109C9" w14:paraId="20DE7601" w14:textId="7B196C7B" w:rsidTr="00D109C9">
        <w:tc>
          <w:tcPr>
            <w:tcW w:w="723" w:type="dxa"/>
          </w:tcPr>
          <w:p w14:paraId="3D8216E1" w14:textId="71517BE3"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8</w:t>
            </w:r>
          </w:p>
        </w:tc>
        <w:tc>
          <w:tcPr>
            <w:tcW w:w="7282" w:type="dxa"/>
          </w:tcPr>
          <w:p w14:paraId="42B47AF9" w14:textId="30AFC53F" w:rsidR="00D109C9" w:rsidRDefault="00D109C9">
            <w:pPr>
              <w:contextualSpacing/>
              <w:rPr>
                <w:rFonts w:ascii="Times New Roman" w:hAnsi="Times New Roman" w:cs="Times New Roman"/>
                <w:sz w:val="24"/>
                <w:szCs w:val="24"/>
              </w:rPr>
            </w:pPr>
            <w:r w:rsidRPr="006E29F9">
              <w:rPr>
                <w:rFonts w:ascii="Times New Roman" w:hAnsi="Times New Roman" w:cs="Times New Roman"/>
                <w:sz w:val="24"/>
                <w:szCs w:val="24"/>
              </w:rPr>
              <w:t>No job all month, no time on layoff and no time looking for work.</w:t>
            </w:r>
          </w:p>
        </w:tc>
        <w:tc>
          <w:tcPr>
            <w:tcW w:w="1581" w:type="dxa"/>
          </w:tcPr>
          <w:p w14:paraId="1963B6E1" w14:textId="41749EB9" w:rsidR="00D109C9" w:rsidRPr="006E29F9" w:rsidRDefault="006D7AE0" w:rsidP="005F52F4">
            <w:pPr>
              <w:contextualSpacing/>
              <w:jc w:val="right"/>
              <w:rPr>
                <w:rFonts w:ascii="Times New Roman" w:hAnsi="Times New Roman" w:cs="Times New Roman"/>
                <w:sz w:val="24"/>
                <w:szCs w:val="24"/>
              </w:rPr>
            </w:pPr>
            <w:r>
              <w:rPr>
                <w:rFonts w:ascii="Times New Roman" w:hAnsi="Times New Roman" w:cs="Times New Roman"/>
                <w:sz w:val="24"/>
                <w:szCs w:val="24"/>
              </w:rPr>
              <w:t>37,756</w:t>
            </w:r>
          </w:p>
        </w:tc>
      </w:tr>
      <w:tr w:rsidR="00D109C9" w14:paraId="2BC6DE81" w14:textId="77777777" w:rsidTr="00D109C9">
        <w:tc>
          <w:tcPr>
            <w:tcW w:w="723" w:type="dxa"/>
          </w:tcPr>
          <w:p w14:paraId="7CA90BAC" w14:textId="0BA0DF4A" w:rsidR="00D109C9" w:rsidRDefault="00D109C9">
            <w:pPr>
              <w:contextualSpacing/>
              <w:rPr>
                <w:rFonts w:ascii="Times New Roman" w:hAnsi="Times New Roman" w:cs="Times New Roman"/>
                <w:sz w:val="24"/>
                <w:szCs w:val="24"/>
              </w:rPr>
            </w:pPr>
            <w:r>
              <w:rPr>
                <w:rFonts w:ascii="Times New Roman" w:hAnsi="Times New Roman" w:cs="Times New Roman"/>
                <w:sz w:val="24"/>
                <w:szCs w:val="24"/>
              </w:rPr>
              <w:t>Nan</w:t>
            </w:r>
          </w:p>
        </w:tc>
        <w:tc>
          <w:tcPr>
            <w:tcW w:w="7282" w:type="dxa"/>
          </w:tcPr>
          <w:p w14:paraId="7C31BE7D" w14:textId="0AD6929C" w:rsidR="00D109C9" w:rsidRPr="006E29F9" w:rsidRDefault="00D109C9">
            <w:pPr>
              <w:contextualSpacing/>
              <w:rPr>
                <w:rFonts w:ascii="Times New Roman" w:hAnsi="Times New Roman" w:cs="Times New Roman"/>
                <w:sz w:val="24"/>
                <w:szCs w:val="24"/>
              </w:rPr>
            </w:pPr>
            <w:r>
              <w:rPr>
                <w:rFonts w:ascii="Times New Roman" w:hAnsi="Times New Roman" w:cs="Times New Roman"/>
                <w:sz w:val="24"/>
                <w:szCs w:val="24"/>
              </w:rPr>
              <w:t>Missing data</w:t>
            </w:r>
          </w:p>
        </w:tc>
        <w:tc>
          <w:tcPr>
            <w:tcW w:w="1581" w:type="dxa"/>
          </w:tcPr>
          <w:p w14:paraId="1B65CF1A" w14:textId="2E5F72D9" w:rsidR="00D109C9" w:rsidRDefault="00D109C9" w:rsidP="005F52F4">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bl>
    <w:p w14:paraId="089C0A7C" w14:textId="091EE54F" w:rsidR="005B6863" w:rsidRDefault="005B6863">
      <w:pPr>
        <w:contextualSpacing/>
        <w:rPr>
          <w:rFonts w:ascii="Times New Roman" w:hAnsi="Times New Roman" w:cs="Times New Roman"/>
          <w:sz w:val="24"/>
          <w:szCs w:val="24"/>
        </w:rPr>
      </w:pPr>
    </w:p>
    <w:p w14:paraId="27BC3C93" w14:textId="4A4BE03F" w:rsidR="00C52EF0" w:rsidRDefault="002D380B">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The SIPP allows for information on two possible jobs to be recorded. </w:t>
      </w:r>
      <w:r w:rsidR="00727BAC">
        <w:rPr>
          <w:rFonts w:ascii="Times New Roman" w:hAnsi="Times New Roman" w:cs="Times New Roman"/>
          <w:sz w:val="24"/>
          <w:szCs w:val="24"/>
        </w:rPr>
        <w:t xml:space="preserve">In the case of an individual holding multiple jobs during a reference month, the job by which the individual earned the most money over the four-month period will be listed as job 1. The job that provided the next most earnings in the four-month period will be listed as job 2. </w:t>
      </w:r>
      <w:r w:rsidR="00B67AAF">
        <w:rPr>
          <w:rFonts w:ascii="Times New Roman" w:hAnsi="Times New Roman" w:cs="Times New Roman"/>
          <w:sz w:val="24"/>
          <w:szCs w:val="24"/>
        </w:rPr>
        <w:t>In order to simplify the analysis, only data o</w:t>
      </w:r>
      <w:r w:rsidR="001329E5">
        <w:rPr>
          <w:rFonts w:ascii="Times New Roman" w:hAnsi="Times New Roman" w:cs="Times New Roman"/>
          <w:sz w:val="24"/>
          <w:szCs w:val="24"/>
        </w:rPr>
        <w:t xml:space="preserve">n job 1 was used in this paper, and each individual was placed into occupations groups according to job 1. </w:t>
      </w:r>
      <w:r w:rsidR="00B67AAF">
        <w:rPr>
          <w:rFonts w:ascii="Times New Roman" w:hAnsi="Times New Roman" w:cs="Times New Roman"/>
          <w:sz w:val="24"/>
          <w:szCs w:val="24"/>
        </w:rPr>
        <w:t xml:space="preserve"> </w:t>
      </w:r>
    </w:p>
    <w:p w14:paraId="7808AC7E" w14:textId="7FCE5402" w:rsidR="006D21E5" w:rsidRDefault="006D21E5">
      <w:pPr>
        <w:contextualSpacing/>
        <w:rPr>
          <w:rFonts w:ascii="Times New Roman" w:hAnsi="Times New Roman" w:cs="Times New Roman"/>
          <w:sz w:val="24"/>
          <w:szCs w:val="24"/>
        </w:rPr>
      </w:pPr>
    </w:p>
    <w:p w14:paraId="2979C2D8" w14:textId="67399E3F" w:rsidR="006D21E5" w:rsidRDefault="006D21E5">
      <w:pPr>
        <w:contextualSpacing/>
        <w:rPr>
          <w:rFonts w:ascii="Times New Roman" w:hAnsi="Times New Roman" w:cs="Times New Roman"/>
          <w:sz w:val="24"/>
          <w:szCs w:val="24"/>
        </w:rPr>
      </w:pPr>
      <w:r>
        <w:rPr>
          <w:rFonts w:ascii="Times New Roman" w:hAnsi="Times New Roman" w:cs="Times New Roman"/>
          <w:sz w:val="24"/>
          <w:szCs w:val="24"/>
        </w:rPr>
        <w:tab/>
        <w:t xml:space="preserve">An important aspect of the data is that the SIPP </w:t>
      </w:r>
      <w:r w:rsidR="00A5244E">
        <w:rPr>
          <w:rFonts w:ascii="Times New Roman" w:hAnsi="Times New Roman" w:cs="Times New Roman"/>
          <w:sz w:val="24"/>
          <w:szCs w:val="24"/>
        </w:rPr>
        <w:t>changed the encoding of occupations after the 2001 panel. The 1996 and 2001 panels of the SIPP encode occupations according to the 1990 Census Bureau occupational classification scheme, while the 2004 and 2008 panels utilize the classification scheme from the 2000 Census. This means that pre-2004 panel occupations cannot be directly matched to 2004 and later panel occupations. However, both types of occupation coding systems could still be placed into general occupation groups (specified by the Standard Occupational Classification system).</w:t>
      </w:r>
      <w:r w:rsidR="001329E5">
        <w:rPr>
          <w:rFonts w:ascii="Times New Roman" w:hAnsi="Times New Roman" w:cs="Times New Roman"/>
          <w:sz w:val="24"/>
          <w:szCs w:val="24"/>
        </w:rPr>
        <w:t xml:space="preserve"> Individuals were placed into occupation groups according to their most recent pre-birth occupation. </w:t>
      </w:r>
      <w:r w:rsidR="00A5244E">
        <w:rPr>
          <w:rFonts w:ascii="Times New Roman" w:hAnsi="Times New Roman" w:cs="Times New Roman"/>
          <w:sz w:val="24"/>
          <w:szCs w:val="24"/>
        </w:rPr>
        <w:t xml:space="preserve">I then codified each occupation group as either ‘white collar’ or ‘blue collar’. The results of this processing can be seen in the table below. </w:t>
      </w:r>
    </w:p>
    <w:p w14:paraId="1D041492" w14:textId="77777777" w:rsidR="00524DEB" w:rsidRDefault="00524DEB">
      <w:pPr>
        <w:contextualSpacing/>
        <w:rPr>
          <w:rFonts w:ascii="Times New Roman" w:hAnsi="Times New Roman" w:cs="Times New Roman"/>
          <w:sz w:val="24"/>
          <w:szCs w:val="24"/>
        </w:rPr>
      </w:pPr>
    </w:p>
    <w:p w14:paraId="0E372F23" w14:textId="3B9F0F6A" w:rsidR="00C52EF0" w:rsidRDefault="00BB661D">
      <w:pPr>
        <w:contextualSpacing/>
        <w:rPr>
          <w:rFonts w:ascii="Times New Roman" w:hAnsi="Times New Roman" w:cs="Times New Roman"/>
          <w:sz w:val="24"/>
          <w:szCs w:val="24"/>
        </w:rPr>
      </w:pPr>
      <w:r>
        <w:rPr>
          <w:rFonts w:ascii="Times New Roman" w:hAnsi="Times New Roman" w:cs="Times New Roman"/>
          <w:sz w:val="24"/>
          <w:szCs w:val="24"/>
        </w:rPr>
        <w:t>Occupation Group Counts and Encodings</w:t>
      </w:r>
    </w:p>
    <w:tbl>
      <w:tblPr>
        <w:tblStyle w:val="TableGrid"/>
        <w:tblW w:w="0" w:type="auto"/>
        <w:tblLook w:val="04A0" w:firstRow="1" w:lastRow="0" w:firstColumn="1" w:lastColumn="0" w:noHBand="0" w:noVBand="1"/>
      </w:tblPr>
      <w:tblGrid>
        <w:gridCol w:w="723"/>
        <w:gridCol w:w="4582"/>
        <w:gridCol w:w="3150"/>
        <w:gridCol w:w="895"/>
      </w:tblGrid>
      <w:tr w:rsidR="00BB661D" w14:paraId="4024DC26" w14:textId="77777777" w:rsidTr="00BB661D">
        <w:tc>
          <w:tcPr>
            <w:tcW w:w="723" w:type="dxa"/>
          </w:tcPr>
          <w:p w14:paraId="567BBD9E" w14:textId="78B232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Code</w:t>
            </w:r>
          </w:p>
        </w:tc>
        <w:tc>
          <w:tcPr>
            <w:tcW w:w="4582" w:type="dxa"/>
          </w:tcPr>
          <w:p w14:paraId="27372E84" w14:textId="5EE7AB7B" w:rsidR="00BB661D" w:rsidRDefault="00A64C70">
            <w:pPr>
              <w:contextualSpacing/>
              <w:rPr>
                <w:rFonts w:ascii="Times New Roman" w:hAnsi="Times New Roman" w:cs="Times New Roman"/>
                <w:sz w:val="24"/>
                <w:szCs w:val="24"/>
              </w:rPr>
            </w:pPr>
            <w:r>
              <w:rPr>
                <w:rFonts w:ascii="Times New Roman" w:hAnsi="Times New Roman" w:cs="Times New Roman"/>
                <w:sz w:val="24"/>
                <w:szCs w:val="24"/>
              </w:rPr>
              <w:t xml:space="preserve">Pre-birth </w:t>
            </w:r>
            <w:r w:rsidR="00BB661D">
              <w:rPr>
                <w:rFonts w:ascii="Times New Roman" w:hAnsi="Times New Roman" w:cs="Times New Roman"/>
                <w:sz w:val="24"/>
                <w:szCs w:val="24"/>
              </w:rPr>
              <w:t>Occupation Group</w:t>
            </w:r>
          </w:p>
        </w:tc>
        <w:tc>
          <w:tcPr>
            <w:tcW w:w="3150" w:type="dxa"/>
          </w:tcPr>
          <w:p w14:paraId="642636D4" w14:textId="4A868F6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White Collar / Blue Collar</w:t>
            </w:r>
          </w:p>
        </w:tc>
        <w:tc>
          <w:tcPr>
            <w:tcW w:w="895" w:type="dxa"/>
          </w:tcPr>
          <w:p w14:paraId="29125A74" w14:textId="1365CCA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Count</w:t>
            </w:r>
          </w:p>
        </w:tc>
      </w:tr>
      <w:tr w:rsidR="00BB661D" w14:paraId="7D8B84F9" w14:textId="56AA98AE" w:rsidTr="00BB661D">
        <w:tc>
          <w:tcPr>
            <w:tcW w:w="723" w:type="dxa"/>
          </w:tcPr>
          <w:p w14:paraId="2F1EBDDD" w14:textId="3835D92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11</w:t>
            </w:r>
          </w:p>
        </w:tc>
        <w:tc>
          <w:tcPr>
            <w:tcW w:w="4582" w:type="dxa"/>
          </w:tcPr>
          <w:p w14:paraId="2685804F" w14:textId="6AA022B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Management</w:t>
            </w:r>
          </w:p>
        </w:tc>
        <w:tc>
          <w:tcPr>
            <w:tcW w:w="3150" w:type="dxa"/>
          </w:tcPr>
          <w:p w14:paraId="49668866" w14:textId="40C56D35"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9B03814" w14:textId="67C56128"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131</w:t>
            </w:r>
          </w:p>
        </w:tc>
      </w:tr>
      <w:tr w:rsidR="00BB661D" w14:paraId="009EFA01" w14:textId="2864548C" w:rsidTr="00BB661D">
        <w:tc>
          <w:tcPr>
            <w:tcW w:w="723" w:type="dxa"/>
          </w:tcPr>
          <w:p w14:paraId="6C792F14" w14:textId="543BD91B" w:rsidR="00BB661D" w:rsidRDefault="00B369DF">
            <w:pPr>
              <w:contextualSpacing/>
              <w:rPr>
                <w:rFonts w:ascii="Times New Roman" w:hAnsi="Times New Roman" w:cs="Times New Roman"/>
                <w:sz w:val="24"/>
                <w:szCs w:val="24"/>
              </w:rPr>
            </w:pPr>
            <w:r>
              <w:rPr>
                <w:rFonts w:ascii="Times New Roman" w:hAnsi="Times New Roman" w:cs="Times New Roman"/>
                <w:sz w:val="24"/>
                <w:szCs w:val="24"/>
              </w:rPr>
              <w:t>13</w:t>
            </w:r>
          </w:p>
        </w:tc>
        <w:tc>
          <w:tcPr>
            <w:tcW w:w="4582" w:type="dxa"/>
          </w:tcPr>
          <w:p w14:paraId="68E76E32" w14:textId="0EB7F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Business and Finance</w:t>
            </w:r>
          </w:p>
        </w:tc>
        <w:tc>
          <w:tcPr>
            <w:tcW w:w="3150" w:type="dxa"/>
          </w:tcPr>
          <w:p w14:paraId="000FFE64" w14:textId="5899A42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C0C4D50" w14:textId="458C85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86</w:t>
            </w:r>
          </w:p>
        </w:tc>
      </w:tr>
      <w:tr w:rsidR="00BB661D" w14:paraId="3A303615" w14:textId="77777777" w:rsidTr="00BB661D">
        <w:tc>
          <w:tcPr>
            <w:tcW w:w="723" w:type="dxa"/>
          </w:tcPr>
          <w:p w14:paraId="3A88ECA5" w14:textId="5DEBDF8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15</w:t>
            </w:r>
          </w:p>
        </w:tc>
        <w:tc>
          <w:tcPr>
            <w:tcW w:w="4582" w:type="dxa"/>
          </w:tcPr>
          <w:p w14:paraId="43C25EA5" w14:textId="7A363C6A"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Computer Science and Mathematics</w:t>
            </w:r>
          </w:p>
        </w:tc>
        <w:tc>
          <w:tcPr>
            <w:tcW w:w="3150" w:type="dxa"/>
          </w:tcPr>
          <w:p w14:paraId="31EB364E" w14:textId="3ADF5C7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78F294D" w14:textId="08F6503D"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38</w:t>
            </w:r>
          </w:p>
        </w:tc>
      </w:tr>
      <w:tr w:rsidR="00BB661D" w14:paraId="3E71CA43" w14:textId="77777777" w:rsidTr="00BB661D">
        <w:tc>
          <w:tcPr>
            <w:tcW w:w="723" w:type="dxa"/>
          </w:tcPr>
          <w:p w14:paraId="796FA5ED" w14:textId="56560C6F"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17</w:t>
            </w:r>
          </w:p>
        </w:tc>
        <w:tc>
          <w:tcPr>
            <w:tcW w:w="4582" w:type="dxa"/>
          </w:tcPr>
          <w:p w14:paraId="61D2D1BF" w14:textId="2773D29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Architecture and Engineering</w:t>
            </w:r>
          </w:p>
        </w:tc>
        <w:tc>
          <w:tcPr>
            <w:tcW w:w="3150" w:type="dxa"/>
          </w:tcPr>
          <w:p w14:paraId="4B3D7334" w14:textId="3C3FFCAD"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F796058" w14:textId="0464F5A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24</w:t>
            </w:r>
          </w:p>
        </w:tc>
      </w:tr>
      <w:tr w:rsidR="00BB661D" w14:paraId="77122BA1" w14:textId="77777777" w:rsidTr="00BB661D">
        <w:tc>
          <w:tcPr>
            <w:tcW w:w="723" w:type="dxa"/>
          </w:tcPr>
          <w:p w14:paraId="6EC24E27" w14:textId="74CE8D69"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19</w:t>
            </w:r>
          </w:p>
        </w:tc>
        <w:tc>
          <w:tcPr>
            <w:tcW w:w="4582" w:type="dxa"/>
          </w:tcPr>
          <w:p w14:paraId="070301CD" w14:textId="5E23DD1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Life, Physical, And Social Science</w:t>
            </w:r>
          </w:p>
        </w:tc>
        <w:tc>
          <w:tcPr>
            <w:tcW w:w="3150" w:type="dxa"/>
          </w:tcPr>
          <w:p w14:paraId="2F3D10B3" w14:textId="300ED41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4B67778" w14:textId="6BDE51FF"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w:t>
            </w:r>
          </w:p>
        </w:tc>
      </w:tr>
      <w:tr w:rsidR="00BB661D" w14:paraId="21B98065" w14:textId="77777777" w:rsidTr="00BB661D">
        <w:tc>
          <w:tcPr>
            <w:tcW w:w="723" w:type="dxa"/>
          </w:tcPr>
          <w:p w14:paraId="679E3D81" w14:textId="04D738C3"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21</w:t>
            </w:r>
          </w:p>
        </w:tc>
        <w:tc>
          <w:tcPr>
            <w:tcW w:w="4582" w:type="dxa"/>
          </w:tcPr>
          <w:p w14:paraId="63EC2435" w14:textId="1DF0155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Community and Social Service</w:t>
            </w:r>
          </w:p>
        </w:tc>
        <w:tc>
          <w:tcPr>
            <w:tcW w:w="3150" w:type="dxa"/>
          </w:tcPr>
          <w:p w14:paraId="3CAA5B00" w14:textId="5102E5A5"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6E71E05F" w14:textId="230ADCB7"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43</w:t>
            </w:r>
          </w:p>
        </w:tc>
      </w:tr>
      <w:tr w:rsidR="00BB661D" w14:paraId="6968133B" w14:textId="77777777" w:rsidTr="00BB661D">
        <w:tc>
          <w:tcPr>
            <w:tcW w:w="723" w:type="dxa"/>
          </w:tcPr>
          <w:p w14:paraId="3684273A" w14:textId="71D3F1E4"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23</w:t>
            </w:r>
          </w:p>
        </w:tc>
        <w:tc>
          <w:tcPr>
            <w:tcW w:w="4582" w:type="dxa"/>
          </w:tcPr>
          <w:p w14:paraId="2FE75FF1" w14:textId="7BBCAF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Law</w:t>
            </w:r>
          </w:p>
        </w:tc>
        <w:tc>
          <w:tcPr>
            <w:tcW w:w="3150" w:type="dxa"/>
          </w:tcPr>
          <w:p w14:paraId="06E1AB59" w14:textId="70ACBF9E"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1A772F8E" w14:textId="1348D1D5"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BB661D" w14:paraId="68AE8380" w14:textId="77777777" w:rsidTr="00BB661D">
        <w:tc>
          <w:tcPr>
            <w:tcW w:w="723" w:type="dxa"/>
          </w:tcPr>
          <w:p w14:paraId="72E0341B" w14:textId="7FF86C9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25</w:t>
            </w:r>
          </w:p>
        </w:tc>
        <w:tc>
          <w:tcPr>
            <w:tcW w:w="4582" w:type="dxa"/>
          </w:tcPr>
          <w:p w14:paraId="0E53ABE7" w14:textId="34431AA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Education, Training, and Library</w:t>
            </w:r>
          </w:p>
        </w:tc>
        <w:tc>
          <w:tcPr>
            <w:tcW w:w="3150" w:type="dxa"/>
          </w:tcPr>
          <w:p w14:paraId="1E3BE992" w14:textId="36C8F152"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7B7C3FF5" w14:textId="5377108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195</w:t>
            </w:r>
          </w:p>
        </w:tc>
      </w:tr>
      <w:tr w:rsidR="00BB661D" w14:paraId="7B676C79" w14:textId="77777777" w:rsidTr="00BB661D">
        <w:tc>
          <w:tcPr>
            <w:tcW w:w="723" w:type="dxa"/>
          </w:tcPr>
          <w:p w14:paraId="69D62EC7" w14:textId="67D6D735"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27</w:t>
            </w:r>
          </w:p>
        </w:tc>
        <w:tc>
          <w:tcPr>
            <w:tcW w:w="4582" w:type="dxa"/>
          </w:tcPr>
          <w:p w14:paraId="1A84ECE7" w14:textId="2B5BD64C"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Arts, Design, Entertainment, Sports</w:t>
            </w:r>
          </w:p>
        </w:tc>
        <w:tc>
          <w:tcPr>
            <w:tcW w:w="3150" w:type="dxa"/>
          </w:tcPr>
          <w:p w14:paraId="58CD83C6" w14:textId="4D045B71"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5F4529F4" w14:textId="18B9D72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28</w:t>
            </w:r>
          </w:p>
        </w:tc>
      </w:tr>
      <w:tr w:rsidR="00BB661D" w14:paraId="57AC3B63" w14:textId="77777777" w:rsidTr="00BB661D">
        <w:tc>
          <w:tcPr>
            <w:tcW w:w="723" w:type="dxa"/>
          </w:tcPr>
          <w:p w14:paraId="0B5AACB3" w14:textId="125C9DC1"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29</w:t>
            </w:r>
          </w:p>
        </w:tc>
        <w:tc>
          <w:tcPr>
            <w:tcW w:w="4582" w:type="dxa"/>
          </w:tcPr>
          <w:p w14:paraId="0A5EA832" w14:textId="55DD5640" w:rsidR="00BB661D" w:rsidRDefault="00BB661D" w:rsidP="00BB661D">
            <w:pPr>
              <w:contextualSpacing/>
              <w:rPr>
                <w:rFonts w:ascii="Times New Roman" w:hAnsi="Times New Roman" w:cs="Times New Roman"/>
                <w:sz w:val="24"/>
                <w:szCs w:val="24"/>
              </w:rPr>
            </w:pPr>
            <w:r>
              <w:rPr>
                <w:rFonts w:ascii="Times New Roman" w:hAnsi="Times New Roman" w:cs="Times New Roman"/>
                <w:sz w:val="24"/>
                <w:szCs w:val="24"/>
              </w:rPr>
              <w:t xml:space="preserve">Healthcare Practitioners and Technicians </w:t>
            </w:r>
          </w:p>
        </w:tc>
        <w:tc>
          <w:tcPr>
            <w:tcW w:w="3150" w:type="dxa"/>
          </w:tcPr>
          <w:p w14:paraId="309FF4A5" w14:textId="1F861C87"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03791877" w14:textId="27DC40EB"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169</w:t>
            </w:r>
          </w:p>
        </w:tc>
      </w:tr>
      <w:tr w:rsidR="00BB661D" w14:paraId="0A88FF23" w14:textId="77777777" w:rsidTr="00BB661D">
        <w:tc>
          <w:tcPr>
            <w:tcW w:w="723" w:type="dxa"/>
          </w:tcPr>
          <w:p w14:paraId="1021729D" w14:textId="48074B9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31</w:t>
            </w:r>
          </w:p>
        </w:tc>
        <w:tc>
          <w:tcPr>
            <w:tcW w:w="4582" w:type="dxa"/>
          </w:tcPr>
          <w:p w14:paraId="4D5AAE6D" w14:textId="36A6132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Healthcare Support</w:t>
            </w:r>
          </w:p>
        </w:tc>
        <w:tc>
          <w:tcPr>
            <w:tcW w:w="3150" w:type="dxa"/>
          </w:tcPr>
          <w:p w14:paraId="6E36AF4C" w14:textId="13CC52C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2EFF4A4" w14:textId="6ACD38A0"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81</w:t>
            </w:r>
          </w:p>
        </w:tc>
      </w:tr>
      <w:tr w:rsidR="00BB661D" w14:paraId="6C829D36" w14:textId="77777777" w:rsidTr="00BB661D">
        <w:tc>
          <w:tcPr>
            <w:tcW w:w="723" w:type="dxa"/>
          </w:tcPr>
          <w:p w14:paraId="5C25CDD4" w14:textId="56D2A8BE"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33</w:t>
            </w:r>
          </w:p>
        </w:tc>
        <w:tc>
          <w:tcPr>
            <w:tcW w:w="4582" w:type="dxa"/>
          </w:tcPr>
          <w:p w14:paraId="48EA5BEA" w14:textId="7EC86BFD"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 xml:space="preserve">Protective Service </w:t>
            </w:r>
          </w:p>
        </w:tc>
        <w:tc>
          <w:tcPr>
            <w:tcW w:w="3150" w:type="dxa"/>
          </w:tcPr>
          <w:p w14:paraId="31561A54" w14:textId="23EF65E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4F3CD9F6" w14:textId="37A3C246"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46A4CDA3" w14:textId="77777777" w:rsidTr="00BB661D">
        <w:tc>
          <w:tcPr>
            <w:tcW w:w="723" w:type="dxa"/>
          </w:tcPr>
          <w:p w14:paraId="78B6A134" w14:textId="16FB5E16"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35</w:t>
            </w:r>
          </w:p>
        </w:tc>
        <w:tc>
          <w:tcPr>
            <w:tcW w:w="4582" w:type="dxa"/>
          </w:tcPr>
          <w:p w14:paraId="41009CD5" w14:textId="32BC6DFF"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Food Preparation and Serving</w:t>
            </w:r>
          </w:p>
        </w:tc>
        <w:tc>
          <w:tcPr>
            <w:tcW w:w="3150" w:type="dxa"/>
          </w:tcPr>
          <w:p w14:paraId="11532E05" w14:textId="2C96F42C"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F193F79" w14:textId="18BCD2D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89</w:t>
            </w:r>
          </w:p>
        </w:tc>
      </w:tr>
      <w:tr w:rsidR="00BB661D" w14:paraId="201D40F7" w14:textId="77777777" w:rsidTr="00BB661D">
        <w:tc>
          <w:tcPr>
            <w:tcW w:w="723" w:type="dxa"/>
          </w:tcPr>
          <w:p w14:paraId="55897304" w14:textId="6DF84D3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37</w:t>
            </w:r>
          </w:p>
        </w:tc>
        <w:tc>
          <w:tcPr>
            <w:tcW w:w="4582" w:type="dxa"/>
          </w:tcPr>
          <w:p w14:paraId="0270A9AC" w14:textId="5B763CF1"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Building/Grounds Cleaning and Maintenance</w:t>
            </w:r>
          </w:p>
        </w:tc>
        <w:tc>
          <w:tcPr>
            <w:tcW w:w="3150" w:type="dxa"/>
          </w:tcPr>
          <w:p w14:paraId="150E5592" w14:textId="756274EB"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F571D7" w14:textId="7A67E65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54</w:t>
            </w:r>
          </w:p>
        </w:tc>
      </w:tr>
      <w:tr w:rsidR="00BB661D" w14:paraId="32603237" w14:textId="77777777" w:rsidTr="00BB661D">
        <w:tc>
          <w:tcPr>
            <w:tcW w:w="723" w:type="dxa"/>
          </w:tcPr>
          <w:p w14:paraId="049AA193" w14:textId="7166815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39</w:t>
            </w:r>
          </w:p>
        </w:tc>
        <w:tc>
          <w:tcPr>
            <w:tcW w:w="4582" w:type="dxa"/>
          </w:tcPr>
          <w:p w14:paraId="5BF99970" w14:textId="605C5D90"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Personal Care and Service</w:t>
            </w:r>
          </w:p>
        </w:tc>
        <w:tc>
          <w:tcPr>
            <w:tcW w:w="3150" w:type="dxa"/>
          </w:tcPr>
          <w:p w14:paraId="3B35467D" w14:textId="471BD8F9"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5DE0B32" w14:textId="38C19EFA"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78</w:t>
            </w:r>
          </w:p>
        </w:tc>
      </w:tr>
      <w:tr w:rsidR="00BB661D" w14:paraId="697EC987" w14:textId="77777777" w:rsidTr="00BB661D">
        <w:tc>
          <w:tcPr>
            <w:tcW w:w="723" w:type="dxa"/>
          </w:tcPr>
          <w:p w14:paraId="10D76CB1" w14:textId="4951B44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41</w:t>
            </w:r>
          </w:p>
        </w:tc>
        <w:tc>
          <w:tcPr>
            <w:tcW w:w="4582" w:type="dxa"/>
          </w:tcPr>
          <w:p w14:paraId="004097D0" w14:textId="00D250F7"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Sales and Related Occupations</w:t>
            </w:r>
          </w:p>
        </w:tc>
        <w:tc>
          <w:tcPr>
            <w:tcW w:w="3150" w:type="dxa"/>
          </w:tcPr>
          <w:p w14:paraId="33717DB8" w14:textId="3BE0D53A"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23F0D742" w14:textId="4BEC9C2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190</w:t>
            </w:r>
          </w:p>
        </w:tc>
      </w:tr>
      <w:tr w:rsidR="00BB661D" w14:paraId="2EC457F9" w14:textId="77777777" w:rsidTr="00BB661D">
        <w:tc>
          <w:tcPr>
            <w:tcW w:w="723" w:type="dxa"/>
          </w:tcPr>
          <w:p w14:paraId="53A4C3A2" w14:textId="029AB5AD"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43</w:t>
            </w:r>
          </w:p>
        </w:tc>
        <w:tc>
          <w:tcPr>
            <w:tcW w:w="4582" w:type="dxa"/>
          </w:tcPr>
          <w:p w14:paraId="06FF522F" w14:textId="33E22FB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Office and Administrative Support</w:t>
            </w:r>
          </w:p>
        </w:tc>
        <w:tc>
          <w:tcPr>
            <w:tcW w:w="3150" w:type="dxa"/>
          </w:tcPr>
          <w:p w14:paraId="72F1FE82" w14:textId="3D82C004"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895" w:type="dxa"/>
          </w:tcPr>
          <w:p w14:paraId="48BDA734" w14:textId="0B8CC1B9"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424</w:t>
            </w:r>
          </w:p>
        </w:tc>
      </w:tr>
      <w:tr w:rsidR="00BB661D" w14:paraId="2F2AC883" w14:textId="77777777" w:rsidTr="00BB661D">
        <w:tc>
          <w:tcPr>
            <w:tcW w:w="723" w:type="dxa"/>
          </w:tcPr>
          <w:p w14:paraId="57EC29F0" w14:textId="1BB08410"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45</w:t>
            </w:r>
          </w:p>
        </w:tc>
        <w:tc>
          <w:tcPr>
            <w:tcW w:w="4582" w:type="dxa"/>
          </w:tcPr>
          <w:p w14:paraId="09E28DA6" w14:textId="5F1A5465"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Farming, Fishing, and Forestry</w:t>
            </w:r>
          </w:p>
        </w:tc>
        <w:tc>
          <w:tcPr>
            <w:tcW w:w="3150" w:type="dxa"/>
          </w:tcPr>
          <w:p w14:paraId="1A11D367" w14:textId="1E360300"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38E7C985" w14:textId="14ED7ED3"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25</w:t>
            </w:r>
          </w:p>
        </w:tc>
      </w:tr>
      <w:tr w:rsidR="00BB661D" w14:paraId="3F3ED9DD" w14:textId="77777777" w:rsidTr="00BB661D">
        <w:tc>
          <w:tcPr>
            <w:tcW w:w="723" w:type="dxa"/>
          </w:tcPr>
          <w:p w14:paraId="3BF67875" w14:textId="413C4C27"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47</w:t>
            </w:r>
          </w:p>
        </w:tc>
        <w:tc>
          <w:tcPr>
            <w:tcW w:w="4582" w:type="dxa"/>
          </w:tcPr>
          <w:p w14:paraId="46DBA0F4" w14:textId="6C966254" w:rsidR="00BB661D" w:rsidRDefault="005669E9">
            <w:pPr>
              <w:contextualSpacing/>
              <w:rPr>
                <w:rFonts w:ascii="Times New Roman" w:hAnsi="Times New Roman" w:cs="Times New Roman"/>
                <w:sz w:val="24"/>
                <w:szCs w:val="24"/>
              </w:rPr>
            </w:pPr>
            <w:r>
              <w:rPr>
                <w:rFonts w:ascii="Times New Roman" w:hAnsi="Times New Roman" w:cs="Times New Roman"/>
                <w:sz w:val="24"/>
                <w:szCs w:val="24"/>
              </w:rPr>
              <w:t>Construction and Extraction</w:t>
            </w:r>
          </w:p>
        </w:tc>
        <w:tc>
          <w:tcPr>
            <w:tcW w:w="3150" w:type="dxa"/>
          </w:tcPr>
          <w:p w14:paraId="7977E31D" w14:textId="47A8642F"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0750BBBC" w14:textId="5A613A9E" w:rsidR="00BB661D"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6</w:t>
            </w:r>
          </w:p>
        </w:tc>
      </w:tr>
      <w:tr w:rsidR="000845A7" w14:paraId="30E4ABB6" w14:textId="77777777" w:rsidTr="00BB661D">
        <w:tc>
          <w:tcPr>
            <w:tcW w:w="723" w:type="dxa"/>
          </w:tcPr>
          <w:p w14:paraId="69B3987A" w14:textId="36AC9FBF"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49</w:t>
            </w:r>
          </w:p>
        </w:tc>
        <w:tc>
          <w:tcPr>
            <w:tcW w:w="4582" w:type="dxa"/>
          </w:tcPr>
          <w:p w14:paraId="29ED67F3" w14:textId="2540B64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Installation, Maintenance, and Repair</w:t>
            </w:r>
          </w:p>
        </w:tc>
        <w:tc>
          <w:tcPr>
            <w:tcW w:w="3150" w:type="dxa"/>
          </w:tcPr>
          <w:p w14:paraId="13B990C6" w14:textId="06FEF6D7"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50F3B7F2" w14:textId="016A7F26" w:rsidR="000845A7" w:rsidRDefault="00341D00" w:rsidP="00341D00">
            <w:pPr>
              <w:contextualSpacing/>
              <w:jc w:val="right"/>
              <w:rPr>
                <w:rFonts w:ascii="Times New Roman" w:hAnsi="Times New Roman" w:cs="Times New Roman"/>
                <w:sz w:val="24"/>
                <w:szCs w:val="24"/>
              </w:rPr>
            </w:pPr>
            <w:r>
              <w:rPr>
                <w:rFonts w:ascii="Times New Roman" w:hAnsi="Times New Roman" w:cs="Times New Roman"/>
                <w:sz w:val="24"/>
                <w:szCs w:val="24"/>
              </w:rPr>
              <w:t>5</w:t>
            </w:r>
          </w:p>
        </w:tc>
      </w:tr>
      <w:tr w:rsidR="00BB661D" w14:paraId="64EB80F4" w14:textId="77777777" w:rsidTr="00BB661D">
        <w:tc>
          <w:tcPr>
            <w:tcW w:w="723" w:type="dxa"/>
          </w:tcPr>
          <w:p w14:paraId="69F63644" w14:textId="7112EA5B"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51</w:t>
            </w:r>
          </w:p>
        </w:tc>
        <w:tc>
          <w:tcPr>
            <w:tcW w:w="4582" w:type="dxa"/>
          </w:tcPr>
          <w:p w14:paraId="790C061A" w14:textId="798CC72B" w:rsidR="00BB661D" w:rsidRDefault="000845A7">
            <w:pPr>
              <w:contextualSpacing/>
              <w:rPr>
                <w:rFonts w:ascii="Times New Roman" w:hAnsi="Times New Roman" w:cs="Times New Roman"/>
                <w:sz w:val="24"/>
                <w:szCs w:val="24"/>
              </w:rPr>
            </w:pPr>
            <w:r>
              <w:rPr>
                <w:rFonts w:ascii="Times New Roman" w:hAnsi="Times New Roman" w:cs="Times New Roman"/>
                <w:sz w:val="24"/>
                <w:szCs w:val="24"/>
              </w:rPr>
              <w:t xml:space="preserve">Production </w:t>
            </w:r>
          </w:p>
        </w:tc>
        <w:tc>
          <w:tcPr>
            <w:tcW w:w="3150" w:type="dxa"/>
          </w:tcPr>
          <w:p w14:paraId="258CB907" w14:textId="6100176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22A311B8" w14:textId="279575CF"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80</w:t>
            </w:r>
          </w:p>
        </w:tc>
      </w:tr>
      <w:tr w:rsidR="00BB661D" w14:paraId="4CE62E26" w14:textId="77777777" w:rsidTr="00BB661D">
        <w:tc>
          <w:tcPr>
            <w:tcW w:w="723" w:type="dxa"/>
          </w:tcPr>
          <w:p w14:paraId="7786D936" w14:textId="5450E752" w:rsidR="00BB661D" w:rsidRDefault="00BB661D">
            <w:pPr>
              <w:contextualSpacing/>
              <w:rPr>
                <w:rFonts w:ascii="Times New Roman" w:hAnsi="Times New Roman" w:cs="Times New Roman"/>
                <w:sz w:val="24"/>
                <w:szCs w:val="24"/>
              </w:rPr>
            </w:pPr>
            <w:r>
              <w:rPr>
                <w:rFonts w:ascii="Times New Roman" w:hAnsi="Times New Roman" w:cs="Times New Roman"/>
                <w:sz w:val="24"/>
                <w:szCs w:val="24"/>
              </w:rPr>
              <w:t>53</w:t>
            </w:r>
          </w:p>
        </w:tc>
        <w:tc>
          <w:tcPr>
            <w:tcW w:w="4582" w:type="dxa"/>
          </w:tcPr>
          <w:p w14:paraId="57C0D211" w14:textId="0F58DC94" w:rsidR="00BB661D" w:rsidRDefault="00E263E4">
            <w:pPr>
              <w:contextualSpacing/>
              <w:rPr>
                <w:rFonts w:ascii="Times New Roman" w:hAnsi="Times New Roman" w:cs="Times New Roman"/>
                <w:sz w:val="24"/>
                <w:szCs w:val="24"/>
              </w:rPr>
            </w:pPr>
            <w:r>
              <w:rPr>
                <w:rFonts w:ascii="Times New Roman" w:hAnsi="Times New Roman" w:cs="Times New Roman"/>
                <w:sz w:val="24"/>
                <w:szCs w:val="24"/>
              </w:rPr>
              <w:t>Transportation and Material Moving</w:t>
            </w:r>
          </w:p>
        </w:tc>
        <w:tc>
          <w:tcPr>
            <w:tcW w:w="3150" w:type="dxa"/>
          </w:tcPr>
          <w:p w14:paraId="0B47EF4C" w14:textId="2F09EDF3" w:rsidR="00BB661D" w:rsidRDefault="008815B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895" w:type="dxa"/>
          </w:tcPr>
          <w:p w14:paraId="61B3E1B1" w14:textId="6B5CE800" w:rsidR="00BB661D"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20</w:t>
            </w:r>
          </w:p>
        </w:tc>
      </w:tr>
      <w:tr w:rsidR="000845A7" w14:paraId="71086899" w14:textId="77777777" w:rsidTr="00BB661D">
        <w:tc>
          <w:tcPr>
            <w:tcW w:w="723" w:type="dxa"/>
          </w:tcPr>
          <w:p w14:paraId="3D8A9789" w14:textId="77777777" w:rsidR="000845A7" w:rsidRDefault="000845A7">
            <w:pPr>
              <w:contextualSpacing/>
              <w:rPr>
                <w:rFonts w:ascii="Times New Roman" w:hAnsi="Times New Roman" w:cs="Times New Roman"/>
                <w:sz w:val="24"/>
                <w:szCs w:val="24"/>
              </w:rPr>
            </w:pPr>
          </w:p>
        </w:tc>
        <w:tc>
          <w:tcPr>
            <w:tcW w:w="4582" w:type="dxa"/>
          </w:tcPr>
          <w:p w14:paraId="08E435F2" w14:textId="22FA0964"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Unclassified</w:t>
            </w:r>
          </w:p>
        </w:tc>
        <w:tc>
          <w:tcPr>
            <w:tcW w:w="3150" w:type="dxa"/>
          </w:tcPr>
          <w:p w14:paraId="35F629DB" w14:textId="091C52D0" w:rsidR="000845A7" w:rsidRDefault="000845A7">
            <w:pPr>
              <w:contextualSpacing/>
              <w:rPr>
                <w:rFonts w:ascii="Times New Roman" w:hAnsi="Times New Roman" w:cs="Times New Roman"/>
                <w:sz w:val="24"/>
                <w:szCs w:val="24"/>
              </w:rPr>
            </w:pPr>
            <w:r>
              <w:rPr>
                <w:rFonts w:ascii="Times New Roman" w:hAnsi="Times New Roman" w:cs="Times New Roman"/>
                <w:sz w:val="24"/>
                <w:szCs w:val="24"/>
              </w:rPr>
              <w:t>N/A</w:t>
            </w:r>
          </w:p>
        </w:tc>
        <w:tc>
          <w:tcPr>
            <w:tcW w:w="895" w:type="dxa"/>
          </w:tcPr>
          <w:p w14:paraId="3FB07F17" w14:textId="3CFDFDDD" w:rsidR="000845A7" w:rsidRDefault="000845A7" w:rsidP="00BB661D">
            <w:pPr>
              <w:contextualSpacing/>
              <w:jc w:val="right"/>
              <w:rPr>
                <w:rFonts w:ascii="Times New Roman" w:hAnsi="Times New Roman" w:cs="Times New Roman"/>
                <w:sz w:val="24"/>
                <w:szCs w:val="24"/>
              </w:rPr>
            </w:pPr>
            <w:r>
              <w:rPr>
                <w:rFonts w:ascii="Times New Roman" w:hAnsi="Times New Roman" w:cs="Times New Roman"/>
                <w:sz w:val="24"/>
                <w:szCs w:val="24"/>
              </w:rPr>
              <w:t>39</w:t>
            </w:r>
          </w:p>
        </w:tc>
      </w:tr>
      <w:tr w:rsidR="00A64C70" w14:paraId="5E76D34A" w14:textId="77777777" w:rsidTr="00BB661D">
        <w:tc>
          <w:tcPr>
            <w:tcW w:w="723" w:type="dxa"/>
          </w:tcPr>
          <w:p w14:paraId="04BC20FB" w14:textId="77777777" w:rsidR="00A64C70" w:rsidRDefault="00A64C70">
            <w:pPr>
              <w:contextualSpacing/>
              <w:rPr>
                <w:rFonts w:ascii="Times New Roman" w:hAnsi="Times New Roman" w:cs="Times New Roman"/>
                <w:sz w:val="24"/>
                <w:szCs w:val="24"/>
              </w:rPr>
            </w:pPr>
          </w:p>
        </w:tc>
        <w:tc>
          <w:tcPr>
            <w:tcW w:w="4582" w:type="dxa"/>
          </w:tcPr>
          <w:p w14:paraId="4049E379" w14:textId="77777777" w:rsidR="00A64C70" w:rsidRDefault="00A64C70">
            <w:pPr>
              <w:contextualSpacing/>
              <w:rPr>
                <w:rFonts w:ascii="Times New Roman" w:hAnsi="Times New Roman" w:cs="Times New Roman"/>
                <w:sz w:val="24"/>
                <w:szCs w:val="24"/>
              </w:rPr>
            </w:pPr>
          </w:p>
        </w:tc>
        <w:tc>
          <w:tcPr>
            <w:tcW w:w="3150" w:type="dxa"/>
          </w:tcPr>
          <w:p w14:paraId="6DA86BD3" w14:textId="3BB0AF9C" w:rsidR="00A64C70" w:rsidRDefault="00A64C70">
            <w:pPr>
              <w:contextualSpacing/>
              <w:rPr>
                <w:rFonts w:ascii="Times New Roman" w:hAnsi="Times New Roman" w:cs="Times New Roman"/>
                <w:sz w:val="24"/>
                <w:szCs w:val="24"/>
              </w:rPr>
            </w:pPr>
            <w:r>
              <w:rPr>
                <w:rFonts w:ascii="Times New Roman" w:hAnsi="Times New Roman" w:cs="Times New Roman"/>
                <w:sz w:val="24"/>
                <w:szCs w:val="24"/>
              </w:rPr>
              <w:t>Total</w:t>
            </w:r>
            <w:r w:rsidR="00344D43">
              <w:rPr>
                <w:rFonts w:ascii="Times New Roman" w:hAnsi="Times New Roman" w:cs="Times New Roman"/>
                <w:sz w:val="24"/>
                <w:szCs w:val="24"/>
              </w:rPr>
              <w:t xml:space="preserve"> Unique Individuals</w:t>
            </w:r>
          </w:p>
        </w:tc>
        <w:tc>
          <w:tcPr>
            <w:tcW w:w="895" w:type="dxa"/>
          </w:tcPr>
          <w:p w14:paraId="713D79CE" w14:textId="688A4458" w:rsidR="00A64C70" w:rsidRDefault="00341D00" w:rsidP="00BB661D">
            <w:pPr>
              <w:contextualSpacing/>
              <w:jc w:val="right"/>
              <w:rPr>
                <w:rFonts w:ascii="Times New Roman" w:hAnsi="Times New Roman" w:cs="Times New Roman"/>
                <w:sz w:val="24"/>
                <w:szCs w:val="24"/>
              </w:rPr>
            </w:pPr>
            <w:r>
              <w:rPr>
                <w:rFonts w:ascii="Times New Roman" w:hAnsi="Times New Roman" w:cs="Times New Roman"/>
                <w:sz w:val="24"/>
                <w:szCs w:val="24"/>
              </w:rPr>
              <w:t>1854</w:t>
            </w:r>
          </w:p>
        </w:tc>
      </w:tr>
    </w:tbl>
    <w:p w14:paraId="133872B7" w14:textId="42DB944F" w:rsidR="00C52EF0" w:rsidRDefault="00C52EF0">
      <w:pPr>
        <w:contextualSpacing/>
        <w:rPr>
          <w:rFonts w:ascii="Times New Roman" w:hAnsi="Times New Roman" w:cs="Times New Roman"/>
          <w:sz w:val="24"/>
          <w:szCs w:val="24"/>
        </w:rPr>
      </w:pPr>
    </w:p>
    <w:p w14:paraId="7CD57D60" w14:textId="2537D48C" w:rsidR="009C097A" w:rsidRDefault="009C097A">
      <w:pPr>
        <w:contextualSpacing/>
        <w:rPr>
          <w:rFonts w:ascii="Times New Roman" w:hAnsi="Times New Roman" w:cs="Times New Roman"/>
          <w:sz w:val="24"/>
          <w:szCs w:val="24"/>
        </w:rPr>
      </w:pPr>
    </w:p>
    <w:p w14:paraId="69E1BE52" w14:textId="06C13EC8" w:rsidR="009C097A" w:rsidRDefault="009C097A" w:rsidP="00077374">
      <w:pPr>
        <w:ind w:firstLine="720"/>
        <w:contextualSpacing/>
        <w:rPr>
          <w:rFonts w:ascii="Times New Roman" w:hAnsi="Times New Roman" w:cs="Times New Roman"/>
          <w:sz w:val="24"/>
          <w:szCs w:val="24"/>
        </w:rPr>
      </w:pPr>
      <w:r>
        <w:rPr>
          <w:rFonts w:ascii="Times New Roman" w:hAnsi="Times New Roman" w:cs="Times New Roman"/>
          <w:sz w:val="24"/>
          <w:szCs w:val="24"/>
        </w:rPr>
        <w:t>Is the segmentation by educational attainment and the segmentation by occupation type capturing the same subpopulations? The cross tabulation below indicates that</w:t>
      </w:r>
      <w:r w:rsidR="004C4D23">
        <w:rPr>
          <w:rFonts w:ascii="Times New Roman" w:hAnsi="Times New Roman" w:cs="Times New Roman"/>
          <w:sz w:val="24"/>
          <w:szCs w:val="24"/>
        </w:rPr>
        <w:t xml:space="preserve"> while there is overlap,</w:t>
      </w:r>
      <w:r>
        <w:rPr>
          <w:rFonts w:ascii="Times New Roman" w:hAnsi="Times New Roman" w:cs="Times New Roman"/>
          <w:sz w:val="24"/>
          <w:szCs w:val="24"/>
        </w:rPr>
        <w:t xml:space="preserve"> the two segmentations indeed divide the sample differently. </w:t>
      </w:r>
    </w:p>
    <w:p w14:paraId="40DF3EE7" w14:textId="77777777" w:rsidR="009C097A" w:rsidRDefault="009C097A">
      <w:pPr>
        <w:contextualSpacing/>
        <w:rPr>
          <w:rFonts w:ascii="Times New Roman" w:hAnsi="Times New Roman" w:cs="Times New Roman"/>
          <w:sz w:val="24"/>
          <w:szCs w:val="24"/>
        </w:rPr>
      </w:pPr>
    </w:p>
    <w:p w14:paraId="4B51EB1A" w14:textId="385D287E" w:rsidR="000662F3" w:rsidRDefault="00DD66A8">
      <w:pPr>
        <w:contextualSpacing/>
        <w:rPr>
          <w:rFonts w:ascii="Times New Roman" w:hAnsi="Times New Roman" w:cs="Times New Roman"/>
          <w:sz w:val="24"/>
          <w:szCs w:val="24"/>
        </w:rPr>
      </w:pPr>
      <w:r>
        <w:rPr>
          <w:rFonts w:ascii="Times New Roman" w:hAnsi="Times New Roman" w:cs="Times New Roman"/>
          <w:sz w:val="24"/>
          <w:szCs w:val="24"/>
        </w:rPr>
        <w:t xml:space="preserve">Observation </w:t>
      </w:r>
      <w:r w:rsidR="000662F3">
        <w:rPr>
          <w:rFonts w:ascii="Times New Roman" w:hAnsi="Times New Roman" w:cs="Times New Roman"/>
          <w:sz w:val="24"/>
          <w:szCs w:val="24"/>
        </w:rPr>
        <w:t>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DC5455" w14:paraId="54F8BE2E" w14:textId="13B0587C" w:rsidTr="00DC5455">
        <w:tc>
          <w:tcPr>
            <w:tcW w:w="2472" w:type="dxa"/>
          </w:tcPr>
          <w:p w14:paraId="406BC71A" w14:textId="77777777" w:rsidR="00DC5455" w:rsidRDefault="00DC5455">
            <w:pPr>
              <w:contextualSpacing/>
              <w:rPr>
                <w:rFonts w:ascii="Times New Roman" w:hAnsi="Times New Roman" w:cs="Times New Roman"/>
                <w:sz w:val="24"/>
                <w:szCs w:val="24"/>
              </w:rPr>
            </w:pPr>
          </w:p>
        </w:tc>
        <w:tc>
          <w:tcPr>
            <w:tcW w:w="2363" w:type="dxa"/>
          </w:tcPr>
          <w:p w14:paraId="01C21334" w14:textId="6DD1D5A0"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0D6774CE" w14:textId="2FBA4BA7"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6F3F5C18" w14:textId="25BD4493"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DC5455" w14:paraId="2F37DA01" w14:textId="6CBCF6C2" w:rsidTr="00DC5455">
        <w:tc>
          <w:tcPr>
            <w:tcW w:w="2472" w:type="dxa"/>
          </w:tcPr>
          <w:p w14:paraId="65A4D628" w14:textId="7BC217FA"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7FB8A880" w14:textId="3B8A2487"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29101</w:t>
            </w:r>
          </w:p>
        </w:tc>
        <w:tc>
          <w:tcPr>
            <w:tcW w:w="2346" w:type="dxa"/>
          </w:tcPr>
          <w:p w14:paraId="6A252CE2" w14:textId="412E4F22"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12722</w:t>
            </w:r>
          </w:p>
        </w:tc>
        <w:tc>
          <w:tcPr>
            <w:tcW w:w="2169" w:type="dxa"/>
          </w:tcPr>
          <w:p w14:paraId="28535C00" w14:textId="72A2D354"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41823</w:t>
            </w:r>
          </w:p>
        </w:tc>
      </w:tr>
      <w:tr w:rsidR="00DC5455" w14:paraId="4BFF8CE7" w14:textId="20FD38A7" w:rsidTr="00DC5455">
        <w:tc>
          <w:tcPr>
            <w:tcW w:w="2472" w:type="dxa"/>
          </w:tcPr>
          <w:p w14:paraId="0CB33487" w14:textId="7569928F" w:rsidR="00DC5455" w:rsidRDefault="007502F2">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51F2E28D" w14:textId="76260736"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25484</w:t>
            </w:r>
          </w:p>
        </w:tc>
        <w:tc>
          <w:tcPr>
            <w:tcW w:w="2346" w:type="dxa"/>
          </w:tcPr>
          <w:p w14:paraId="6DEA2E4F" w14:textId="4F361389"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1208</w:t>
            </w:r>
          </w:p>
        </w:tc>
        <w:tc>
          <w:tcPr>
            <w:tcW w:w="2169" w:type="dxa"/>
          </w:tcPr>
          <w:p w14:paraId="2D73318A" w14:textId="756BFEC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26692</w:t>
            </w:r>
          </w:p>
        </w:tc>
      </w:tr>
      <w:tr w:rsidR="00DC5455" w14:paraId="032DB3E4" w14:textId="77777777" w:rsidTr="00DC5455">
        <w:tc>
          <w:tcPr>
            <w:tcW w:w="2472" w:type="dxa"/>
          </w:tcPr>
          <w:p w14:paraId="2BBC6F0F" w14:textId="37A16338" w:rsidR="00DC5455" w:rsidRDefault="00DC5455">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76FD5E93" w14:textId="5ABC99A0"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54585</w:t>
            </w:r>
          </w:p>
        </w:tc>
        <w:tc>
          <w:tcPr>
            <w:tcW w:w="2346" w:type="dxa"/>
          </w:tcPr>
          <w:p w14:paraId="71221C38" w14:textId="7BF6C615"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13930</w:t>
            </w:r>
          </w:p>
        </w:tc>
        <w:tc>
          <w:tcPr>
            <w:tcW w:w="2169" w:type="dxa"/>
          </w:tcPr>
          <w:p w14:paraId="44A1830F" w14:textId="4133191C" w:rsidR="00DC5455" w:rsidRDefault="00D255E4">
            <w:pPr>
              <w:contextualSpacing/>
              <w:rPr>
                <w:rFonts w:ascii="Times New Roman" w:hAnsi="Times New Roman" w:cs="Times New Roman"/>
                <w:sz w:val="24"/>
                <w:szCs w:val="24"/>
              </w:rPr>
            </w:pPr>
            <w:r>
              <w:rPr>
                <w:rFonts w:ascii="Times New Roman" w:hAnsi="Times New Roman" w:cs="Times New Roman"/>
                <w:sz w:val="24"/>
                <w:szCs w:val="24"/>
              </w:rPr>
              <w:t>68515</w:t>
            </w:r>
          </w:p>
        </w:tc>
      </w:tr>
    </w:tbl>
    <w:p w14:paraId="59EDC566" w14:textId="3B599876" w:rsidR="00932CFB" w:rsidRDefault="00932CFB">
      <w:pPr>
        <w:contextualSpacing/>
        <w:rPr>
          <w:rFonts w:ascii="Times New Roman" w:hAnsi="Times New Roman" w:cs="Times New Roman"/>
          <w:sz w:val="24"/>
          <w:szCs w:val="24"/>
        </w:rPr>
      </w:pPr>
    </w:p>
    <w:p w14:paraId="4C261572" w14:textId="6AD4E18B" w:rsidR="007502F2" w:rsidRDefault="007502F2" w:rsidP="007502F2">
      <w:pPr>
        <w:contextualSpacing/>
        <w:rPr>
          <w:rFonts w:ascii="Times New Roman" w:hAnsi="Times New Roman" w:cs="Times New Roman"/>
          <w:sz w:val="24"/>
          <w:szCs w:val="24"/>
        </w:rPr>
      </w:pPr>
      <w:r>
        <w:rPr>
          <w:rFonts w:ascii="Times New Roman" w:hAnsi="Times New Roman" w:cs="Times New Roman"/>
          <w:sz w:val="24"/>
          <w:szCs w:val="24"/>
        </w:rPr>
        <w:t>Person Frequency Table for Education / Employment Type</w:t>
      </w:r>
    </w:p>
    <w:tbl>
      <w:tblPr>
        <w:tblStyle w:val="TableGrid"/>
        <w:tblW w:w="0" w:type="auto"/>
        <w:tblLook w:val="04A0" w:firstRow="1" w:lastRow="0" w:firstColumn="1" w:lastColumn="0" w:noHBand="0" w:noVBand="1"/>
      </w:tblPr>
      <w:tblGrid>
        <w:gridCol w:w="2472"/>
        <w:gridCol w:w="2363"/>
        <w:gridCol w:w="2346"/>
        <w:gridCol w:w="2169"/>
      </w:tblGrid>
      <w:tr w:rsidR="007502F2" w14:paraId="5F67BD9B" w14:textId="77777777" w:rsidTr="001E4926">
        <w:tc>
          <w:tcPr>
            <w:tcW w:w="2472" w:type="dxa"/>
          </w:tcPr>
          <w:p w14:paraId="6C1193EC" w14:textId="77777777" w:rsidR="007502F2" w:rsidRDefault="007502F2" w:rsidP="001E4926">
            <w:pPr>
              <w:contextualSpacing/>
              <w:rPr>
                <w:rFonts w:ascii="Times New Roman" w:hAnsi="Times New Roman" w:cs="Times New Roman"/>
                <w:sz w:val="24"/>
                <w:szCs w:val="24"/>
              </w:rPr>
            </w:pPr>
          </w:p>
        </w:tc>
        <w:tc>
          <w:tcPr>
            <w:tcW w:w="2363" w:type="dxa"/>
          </w:tcPr>
          <w:p w14:paraId="7964B8F2"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46" w:type="dxa"/>
          </w:tcPr>
          <w:p w14:paraId="281811A1"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169" w:type="dxa"/>
          </w:tcPr>
          <w:p w14:paraId="3E690EC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r>
      <w:tr w:rsidR="007502F2" w14:paraId="6019ECC9" w14:textId="77777777" w:rsidTr="001E4926">
        <w:tc>
          <w:tcPr>
            <w:tcW w:w="2472" w:type="dxa"/>
          </w:tcPr>
          <w:p w14:paraId="29E1C5B1" w14:textId="3417E9CD"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63" w:type="dxa"/>
          </w:tcPr>
          <w:p w14:paraId="5569DDBB" w14:textId="1C72B029"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807</w:t>
            </w:r>
          </w:p>
        </w:tc>
        <w:tc>
          <w:tcPr>
            <w:tcW w:w="2346" w:type="dxa"/>
          </w:tcPr>
          <w:p w14:paraId="596C453E" w14:textId="3BFCEBC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340</w:t>
            </w:r>
          </w:p>
        </w:tc>
        <w:tc>
          <w:tcPr>
            <w:tcW w:w="2169" w:type="dxa"/>
          </w:tcPr>
          <w:p w14:paraId="29A95476" w14:textId="136105A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1147</w:t>
            </w:r>
          </w:p>
        </w:tc>
      </w:tr>
      <w:tr w:rsidR="007502F2" w14:paraId="14A94E6E" w14:textId="77777777" w:rsidTr="001E4926">
        <w:tc>
          <w:tcPr>
            <w:tcW w:w="2472" w:type="dxa"/>
          </w:tcPr>
          <w:p w14:paraId="5D9DC484" w14:textId="7B0138E4"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63" w:type="dxa"/>
          </w:tcPr>
          <w:p w14:paraId="0888F291" w14:textId="0B6D9C2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685</w:t>
            </w:r>
          </w:p>
        </w:tc>
        <w:tc>
          <w:tcPr>
            <w:tcW w:w="2346" w:type="dxa"/>
          </w:tcPr>
          <w:p w14:paraId="08CE6CC3" w14:textId="1080AC9C"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w:t>
            </w:r>
          </w:p>
        </w:tc>
        <w:tc>
          <w:tcPr>
            <w:tcW w:w="2169" w:type="dxa"/>
          </w:tcPr>
          <w:p w14:paraId="722F1E46" w14:textId="4A41AA73"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722</w:t>
            </w:r>
          </w:p>
        </w:tc>
      </w:tr>
      <w:tr w:rsidR="007502F2" w14:paraId="34683376" w14:textId="77777777" w:rsidTr="001E4926">
        <w:tc>
          <w:tcPr>
            <w:tcW w:w="2472" w:type="dxa"/>
          </w:tcPr>
          <w:p w14:paraId="3E329420" w14:textId="77777777" w:rsidR="007502F2" w:rsidRDefault="007502F2" w:rsidP="001E4926">
            <w:pPr>
              <w:contextualSpacing/>
              <w:rPr>
                <w:rFonts w:ascii="Times New Roman" w:hAnsi="Times New Roman" w:cs="Times New Roman"/>
                <w:sz w:val="24"/>
                <w:szCs w:val="24"/>
              </w:rPr>
            </w:pPr>
            <w:r>
              <w:rPr>
                <w:rFonts w:ascii="Times New Roman" w:hAnsi="Times New Roman" w:cs="Times New Roman"/>
                <w:sz w:val="24"/>
                <w:szCs w:val="24"/>
              </w:rPr>
              <w:t>Totals</w:t>
            </w:r>
          </w:p>
        </w:tc>
        <w:tc>
          <w:tcPr>
            <w:tcW w:w="2363" w:type="dxa"/>
          </w:tcPr>
          <w:p w14:paraId="35695203" w14:textId="7CBFC805"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1445</w:t>
            </w:r>
          </w:p>
        </w:tc>
        <w:tc>
          <w:tcPr>
            <w:tcW w:w="2346" w:type="dxa"/>
          </w:tcPr>
          <w:p w14:paraId="247C1462" w14:textId="7CACA16D"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370</w:t>
            </w:r>
          </w:p>
        </w:tc>
        <w:tc>
          <w:tcPr>
            <w:tcW w:w="2169" w:type="dxa"/>
          </w:tcPr>
          <w:p w14:paraId="4726BE88" w14:textId="07820196" w:rsidR="007502F2" w:rsidRDefault="006B4DB1" w:rsidP="001E4926">
            <w:pPr>
              <w:contextualSpacing/>
              <w:rPr>
                <w:rFonts w:ascii="Times New Roman" w:hAnsi="Times New Roman" w:cs="Times New Roman"/>
                <w:sz w:val="24"/>
                <w:szCs w:val="24"/>
              </w:rPr>
            </w:pPr>
            <w:r>
              <w:rPr>
                <w:rFonts w:ascii="Times New Roman" w:hAnsi="Times New Roman" w:cs="Times New Roman"/>
                <w:sz w:val="24"/>
                <w:szCs w:val="24"/>
              </w:rPr>
              <w:t>1815</w:t>
            </w:r>
          </w:p>
        </w:tc>
      </w:tr>
    </w:tbl>
    <w:p w14:paraId="7A06651C" w14:textId="0E61F86D" w:rsidR="00932CFB" w:rsidRDefault="00932CFB">
      <w:pPr>
        <w:contextualSpacing/>
        <w:rPr>
          <w:rFonts w:ascii="Times New Roman" w:hAnsi="Times New Roman" w:cs="Times New Roman"/>
          <w:sz w:val="24"/>
          <w:szCs w:val="24"/>
        </w:rPr>
      </w:pPr>
    </w:p>
    <w:p w14:paraId="5F84318E" w14:textId="77777777" w:rsidR="007502F2" w:rsidRDefault="007502F2">
      <w:pPr>
        <w:contextualSpacing/>
        <w:rPr>
          <w:rFonts w:ascii="Times New Roman" w:hAnsi="Times New Roman" w:cs="Times New Roman"/>
          <w:sz w:val="24"/>
          <w:szCs w:val="24"/>
        </w:rPr>
      </w:pPr>
    </w:p>
    <w:p w14:paraId="276A17B3" w14:textId="22B5D8C5" w:rsidR="00A6763E" w:rsidRDefault="006E29F9">
      <w:pPr>
        <w:contextualSpacing/>
        <w:rPr>
          <w:rFonts w:ascii="Times New Roman" w:hAnsi="Times New Roman" w:cs="Times New Roman"/>
          <w:sz w:val="24"/>
          <w:szCs w:val="24"/>
        </w:rPr>
      </w:pPr>
      <w:r>
        <w:rPr>
          <w:rFonts w:ascii="Times New Roman" w:hAnsi="Times New Roman" w:cs="Times New Roman"/>
          <w:sz w:val="24"/>
          <w:szCs w:val="24"/>
        </w:rPr>
        <w:t>Summary Statistics</w:t>
      </w:r>
    </w:p>
    <w:tbl>
      <w:tblPr>
        <w:tblStyle w:val="TableGrid"/>
        <w:tblW w:w="0" w:type="auto"/>
        <w:tblLook w:val="04A0" w:firstRow="1" w:lastRow="0" w:firstColumn="1" w:lastColumn="0" w:noHBand="0" w:noVBand="1"/>
      </w:tblPr>
      <w:tblGrid>
        <w:gridCol w:w="2155"/>
        <w:gridCol w:w="1024"/>
        <w:gridCol w:w="1085"/>
        <w:gridCol w:w="756"/>
        <w:gridCol w:w="866"/>
        <w:gridCol w:w="866"/>
        <w:gridCol w:w="866"/>
        <w:gridCol w:w="866"/>
        <w:gridCol w:w="866"/>
      </w:tblGrid>
      <w:tr w:rsidR="00D75716" w:rsidRPr="00D75716" w14:paraId="0220C192" w14:textId="77777777" w:rsidTr="00861DD6">
        <w:tc>
          <w:tcPr>
            <w:tcW w:w="2155" w:type="dxa"/>
          </w:tcPr>
          <w:p w14:paraId="4D94577B" w14:textId="77777777" w:rsidR="00D75716" w:rsidRPr="00D75716" w:rsidRDefault="00D75716" w:rsidP="00077374">
            <w:pPr>
              <w:contextualSpacing/>
              <w:rPr>
                <w:rFonts w:ascii="Times New Roman" w:hAnsi="Times New Roman" w:cs="Times New Roman"/>
                <w:sz w:val="24"/>
                <w:szCs w:val="24"/>
              </w:rPr>
            </w:pPr>
          </w:p>
        </w:tc>
        <w:tc>
          <w:tcPr>
            <w:tcW w:w="1024" w:type="dxa"/>
          </w:tcPr>
          <w:p w14:paraId="4EECDDF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count</w:t>
            </w:r>
          </w:p>
        </w:tc>
        <w:tc>
          <w:tcPr>
            <w:tcW w:w="1085" w:type="dxa"/>
          </w:tcPr>
          <w:p w14:paraId="700CA6E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mean</w:t>
            </w:r>
          </w:p>
        </w:tc>
        <w:tc>
          <w:tcPr>
            <w:tcW w:w="756" w:type="dxa"/>
          </w:tcPr>
          <w:p w14:paraId="306C832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std</w:t>
            </w:r>
          </w:p>
        </w:tc>
        <w:tc>
          <w:tcPr>
            <w:tcW w:w="866" w:type="dxa"/>
          </w:tcPr>
          <w:p w14:paraId="4DF12E4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min</w:t>
            </w:r>
          </w:p>
        </w:tc>
        <w:tc>
          <w:tcPr>
            <w:tcW w:w="866" w:type="dxa"/>
          </w:tcPr>
          <w:p w14:paraId="388997A9"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25%</w:t>
            </w:r>
          </w:p>
        </w:tc>
        <w:tc>
          <w:tcPr>
            <w:tcW w:w="866" w:type="dxa"/>
          </w:tcPr>
          <w:p w14:paraId="118C12E0"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50%</w:t>
            </w:r>
          </w:p>
        </w:tc>
        <w:tc>
          <w:tcPr>
            <w:tcW w:w="866" w:type="dxa"/>
          </w:tcPr>
          <w:p w14:paraId="45BCE51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75%</w:t>
            </w:r>
          </w:p>
        </w:tc>
        <w:tc>
          <w:tcPr>
            <w:tcW w:w="866" w:type="dxa"/>
          </w:tcPr>
          <w:p w14:paraId="7AAE0C7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max</w:t>
            </w:r>
          </w:p>
        </w:tc>
      </w:tr>
      <w:tr w:rsidR="00D75716" w:rsidRPr="00D75716" w14:paraId="1E22D08A" w14:textId="77777777" w:rsidTr="00861DD6">
        <w:tc>
          <w:tcPr>
            <w:tcW w:w="2155" w:type="dxa"/>
          </w:tcPr>
          <w:p w14:paraId="3DAEA23B" w14:textId="27C960E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Calendar Year</w:t>
            </w:r>
          </w:p>
        </w:tc>
        <w:tc>
          <w:tcPr>
            <w:tcW w:w="1024" w:type="dxa"/>
          </w:tcPr>
          <w:p w14:paraId="6F928102" w14:textId="4FF1BFF7"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26C16D2" w14:textId="0F16FDC2"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2002.91</w:t>
            </w:r>
          </w:p>
        </w:tc>
        <w:tc>
          <w:tcPr>
            <w:tcW w:w="756" w:type="dxa"/>
          </w:tcPr>
          <w:p w14:paraId="67B4621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4.93</w:t>
            </w:r>
          </w:p>
        </w:tc>
        <w:tc>
          <w:tcPr>
            <w:tcW w:w="866" w:type="dxa"/>
          </w:tcPr>
          <w:p w14:paraId="0E24B4A0" w14:textId="4EFFEF34"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1995</w:t>
            </w:r>
          </w:p>
        </w:tc>
        <w:tc>
          <w:tcPr>
            <w:tcW w:w="866" w:type="dxa"/>
          </w:tcPr>
          <w:p w14:paraId="3132198B" w14:textId="5466A57E"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1998</w:t>
            </w:r>
          </w:p>
        </w:tc>
        <w:tc>
          <w:tcPr>
            <w:tcW w:w="866" w:type="dxa"/>
          </w:tcPr>
          <w:p w14:paraId="6A0AC4E8" w14:textId="7212BF8B"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2003</w:t>
            </w:r>
          </w:p>
        </w:tc>
        <w:tc>
          <w:tcPr>
            <w:tcW w:w="866" w:type="dxa"/>
          </w:tcPr>
          <w:p w14:paraId="3A30E933" w14:textId="221481AF"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2007</w:t>
            </w:r>
          </w:p>
        </w:tc>
        <w:tc>
          <w:tcPr>
            <w:tcW w:w="866" w:type="dxa"/>
          </w:tcPr>
          <w:p w14:paraId="016F191B" w14:textId="33961B1A" w:rsidR="00D75716" w:rsidRPr="00D75716" w:rsidRDefault="00D75716" w:rsidP="00077374">
            <w:pPr>
              <w:contextualSpacing/>
              <w:rPr>
                <w:rFonts w:ascii="Times New Roman" w:hAnsi="Times New Roman" w:cs="Times New Roman"/>
                <w:sz w:val="24"/>
                <w:szCs w:val="24"/>
              </w:rPr>
            </w:pPr>
            <w:r>
              <w:rPr>
                <w:rFonts w:ascii="Times New Roman" w:hAnsi="Times New Roman" w:cs="Times New Roman"/>
                <w:sz w:val="24"/>
                <w:szCs w:val="24"/>
              </w:rPr>
              <w:t>2012</w:t>
            </w:r>
          </w:p>
        </w:tc>
      </w:tr>
      <w:tr w:rsidR="00D75716" w:rsidRPr="00D75716" w14:paraId="43B6204D" w14:textId="77777777" w:rsidTr="00861DD6">
        <w:tc>
          <w:tcPr>
            <w:tcW w:w="2155" w:type="dxa"/>
          </w:tcPr>
          <w:p w14:paraId="38A70CA9" w14:textId="79CEB178"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Age</w:t>
            </w:r>
          </w:p>
        </w:tc>
        <w:tc>
          <w:tcPr>
            <w:tcW w:w="1024" w:type="dxa"/>
          </w:tcPr>
          <w:p w14:paraId="7B9D7C28" w14:textId="3B063B79"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63B0FB1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31.43</w:t>
            </w:r>
          </w:p>
        </w:tc>
        <w:tc>
          <w:tcPr>
            <w:tcW w:w="756" w:type="dxa"/>
          </w:tcPr>
          <w:p w14:paraId="179CDB27"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4.85</w:t>
            </w:r>
          </w:p>
        </w:tc>
        <w:tc>
          <w:tcPr>
            <w:tcW w:w="866" w:type="dxa"/>
          </w:tcPr>
          <w:p w14:paraId="77901313"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6D38AAA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28.0</w:t>
            </w:r>
          </w:p>
        </w:tc>
        <w:tc>
          <w:tcPr>
            <w:tcW w:w="866" w:type="dxa"/>
          </w:tcPr>
          <w:p w14:paraId="31F8828B"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25B4E44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35.0</w:t>
            </w:r>
          </w:p>
        </w:tc>
        <w:tc>
          <w:tcPr>
            <w:tcW w:w="866" w:type="dxa"/>
          </w:tcPr>
          <w:p w14:paraId="27A6C3E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49.0</w:t>
            </w:r>
          </w:p>
        </w:tc>
      </w:tr>
      <w:tr w:rsidR="00D75716" w:rsidRPr="00D75716" w14:paraId="30002E9A" w14:textId="77777777" w:rsidTr="00861DD6">
        <w:tc>
          <w:tcPr>
            <w:tcW w:w="2155" w:type="dxa"/>
          </w:tcPr>
          <w:p w14:paraId="3D020A55" w14:textId="4739E040"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 xml:space="preserve">Education </w:t>
            </w:r>
          </w:p>
        </w:tc>
        <w:tc>
          <w:tcPr>
            <w:tcW w:w="1024" w:type="dxa"/>
          </w:tcPr>
          <w:p w14:paraId="125328FC" w14:textId="264F87C2"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103608</w:t>
            </w:r>
          </w:p>
        </w:tc>
        <w:tc>
          <w:tcPr>
            <w:tcW w:w="1085" w:type="dxa"/>
          </w:tcPr>
          <w:p w14:paraId="1B5817A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40.86</w:t>
            </w:r>
          </w:p>
        </w:tc>
        <w:tc>
          <w:tcPr>
            <w:tcW w:w="756" w:type="dxa"/>
          </w:tcPr>
          <w:p w14:paraId="1D91104E"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3.38</w:t>
            </w:r>
          </w:p>
        </w:tc>
        <w:tc>
          <w:tcPr>
            <w:tcW w:w="866" w:type="dxa"/>
          </w:tcPr>
          <w:p w14:paraId="612B4C9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31.0</w:t>
            </w:r>
          </w:p>
        </w:tc>
        <w:tc>
          <w:tcPr>
            <w:tcW w:w="866" w:type="dxa"/>
          </w:tcPr>
          <w:p w14:paraId="5526F96D"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39.0</w:t>
            </w:r>
          </w:p>
        </w:tc>
        <w:tc>
          <w:tcPr>
            <w:tcW w:w="866" w:type="dxa"/>
          </w:tcPr>
          <w:p w14:paraId="533BB4FF"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40.0</w:t>
            </w:r>
          </w:p>
        </w:tc>
        <w:tc>
          <w:tcPr>
            <w:tcW w:w="866" w:type="dxa"/>
          </w:tcPr>
          <w:p w14:paraId="349B71C8"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44.0</w:t>
            </w:r>
          </w:p>
        </w:tc>
        <w:tc>
          <w:tcPr>
            <w:tcW w:w="866" w:type="dxa"/>
          </w:tcPr>
          <w:p w14:paraId="4A68C2A6"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r w:rsidR="00D75716" w:rsidRPr="00D75716" w14:paraId="488192DE" w14:textId="77777777" w:rsidTr="00861DD6">
        <w:tc>
          <w:tcPr>
            <w:tcW w:w="2155" w:type="dxa"/>
          </w:tcPr>
          <w:p w14:paraId="12088AB0" w14:textId="7775A57E" w:rsidR="00D75716" w:rsidRPr="00D75716" w:rsidRDefault="00861DD6" w:rsidP="00077374">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1024" w:type="dxa"/>
          </w:tcPr>
          <w:p w14:paraId="6CBD3303" w14:textId="3E540B4E" w:rsidR="00D75716" w:rsidRPr="00D75716" w:rsidRDefault="008C1BBD" w:rsidP="00077374">
            <w:pPr>
              <w:contextualSpacing/>
              <w:rPr>
                <w:rFonts w:ascii="Times New Roman" w:hAnsi="Times New Roman" w:cs="Times New Roman"/>
                <w:sz w:val="24"/>
                <w:szCs w:val="24"/>
              </w:rPr>
            </w:pPr>
            <w:r>
              <w:rPr>
                <w:rFonts w:ascii="Times New Roman" w:hAnsi="Times New Roman" w:cs="Times New Roman"/>
                <w:sz w:val="24"/>
                <w:szCs w:val="24"/>
              </w:rPr>
              <w:t>103624</w:t>
            </w:r>
          </w:p>
        </w:tc>
        <w:tc>
          <w:tcPr>
            <w:tcW w:w="1085" w:type="dxa"/>
          </w:tcPr>
          <w:p w14:paraId="315AF952"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2.92</w:t>
            </w:r>
          </w:p>
        </w:tc>
        <w:tc>
          <w:tcPr>
            <w:tcW w:w="756" w:type="dxa"/>
          </w:tcPr>
          <w:p w14:paraId="0A1B82C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17.01</w:t>
            </w:r>
          </w:p>
        </w:tc>
        <w:tc>
          <w:tcPr>
            <w:tcW w:w="866" w:type="dxa"/>
          </w:tcPr>
          <w:p w14:paraId="5C73CFEC"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c>
          <w:tcPr>
            <w:tcW w:w="866" w:type="dxa"/>
          </w:tcPr>
          <w:p w14:paraId="61FC7835"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-8.0</w:t>
            </w:r>
          </w:p>
        </w:tc>
        <w:tc>
          <w:tcPr>
            <w:tcW w:w="866" w:type="dxa"/>
          </w:tcPr>
          <w:p w14:paraId="2D9C838A"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3.0</w:t>
            </w:r>
          </w:p>
        </w:tc>
        <w:tc>
          <w:tcPr>
            <w:tcW w:w="866" w:type="dxa"/>
          </w:tcPr>
          <w:p w14:paraId="686F0964"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15.0</w:t>
            </w:r>
          </w:p>
        </w:tc>
        <w:tc>
          <w:tcPr>
            <w:tcW w:w="866" w:type="dxa"/>
          </w:tcPr>
          <w:p w14:paraId="06C82D61" w14:textId="77777777" w:rsidR="00D75716" w:rsidRPr="00D75716" w:rsidRDefault="00D75716" w:rsidP="00077374">
            <w:pPr>
              <w:contextualSpacing/>
              <w:rPr>
                <w:rFonts w:ascii="Times New Roman" w:hAnsi="Times New Roman" w:cs="Times New Roman"/>
                <w:sz w:val="24"/>
                <w:szCs w:val="24"/>
              </w:rPr>
            </w:pPr>
            <w:r w:rsidRPr="00D75716">
              <w:rPr>
                <w:rFonts w:ascii="Times New Roman" w:hAnsi="Times New Roman" w:cs="Times New Roman"/>
                <w:sz w:val="24"/>
                <w:szCs w:val="24"/>
              </w:rPr>
              <w:t>47.0</w:t>
            </w:r>
          </w:p>
        </w:tc>
      </w:tr>
    </w:tbl>
    <w:p w14:paraId="533CBEF1" w14:textId="77777777" w:rsidR="00700B09" w:rsidRDefault="00700B09">
      <w:pPr>
        <w:contextualSpacing/>
        <w:rPr>
          <w:rFonts w:ascii="Times New Roman" w:hAnsi="Times New Roman" w:cs="Times New Roman"/>
          <w:sz w:val="24"/>
          <w:szCs w:val="24"/>
        </w:rPr>
      </w:pPr>
    </w:p>
    <w:p w14:paraId="5C76142B" w14:textId="245ADFC5" w:rsidR="00700B09" w:rsidRDefault="00700B09">
      <w:pPr>
        <w:contextualSpacing/>
        <w:rPr>
          <w:rFonts w:ascii="Times New Roman" w:hAnsi="Times New Roman" w:cs="Times New Roman"/>
          <w:sz w:val="24"/>
          <w:szCs w:val="24"/>
        </w:rPr>
      </w:pPr>
    </w:p>
    <w:p w14:paraId="4D474ABA" w14:textId="430AAA52" w:rsidR="00154EB0" w:rsidRDefault="00154EB0">
      <w:pPr>
        <w:contextualSpacing/>
        <w:rPr>
          <w:rFonts w:ascii="Times New Roman" w:hAnsi="Times New Roman" w:cs="Times New Roman"/>
          <w:sz w:val="24"/>
          <w:szCs w:val="24"/>
        </w:rPr>
      </w:pPr>
    </w:p>
    <w:p w14:paraId="0B34E316" w14:textId="77777777" w:rsidR="00154EB0" w:rsidRDefault="00154EB0">
      <w:pPr>
        <w:contextualSpacing/>
        <w:rPr>
          <w:rFonts w:ascii="Times New Roman" w:hAnsi="Times New Roman" w:cs="Times New Roman"/>
          <w:sz w:val="24"/>
          <w:szCs w:val="24"/>
        </w:rPr>
      </w:pPr>
    </w:p>
    <w:p w14:paraId="0F366EF0" w14:textId="0927F2FB" w:rsidR="003C41AF" w:rsidRDefault="00F15B17">
      <w:pPr>
        <w:contextualSpacing/>
        <w:rPr>
          <w:rFonts w:ascii="Times New Roman" w:hAnsi="Times New Roman" w:cs="Times New Roman"/>
          <w:b/>
          <w:sz w:val="24"/>
          <w:szCs w:val="24"/>
        </w:rPr>
      </w:pPr>
      <w:r>
        <w:rPr>
          <w:rFonts w:ascii="Times New Roman" w:hAnsi="Times New Roman" w:cs="Times New Roman"/>
          <w:b/>
          <w:sz w:val="24"/>
          <w:szCs w:val="24"/>
        </w:rPr>
        <w:t>Methodology</w:t>
      </w:r>
    </w:p>
    <w:p w14:paraId="297C57EC" w14:textId="3E2804C2" w:rsidR="003C41AF" w:rsidRDefault="003C41AF">
      <w:pPr>
        <w:contextualSpacing/>
        <w:rPr>
          <w:rFonts w:ascii="Times New Roman" w:hAnsi="Times New Roman" w:cs="Times New Roman"/>
          <w:sz w:val="24"/>
          <w:szCs w:val="24"/>
        </w:rPr>
      </w:pPr>
    </w:p>
    <w:p w14:paraId="204B499D" w14:textId="424633C5" w:rsidR="00161FD9" w:rsidRPr="009D5135" w:rsidRDefault="00161FD9">
      <w:pPr>
        <w:contextualSpacing/>
        <w:rPr>
          <w:rFonts w:ascii="Times New Roman" w:hAnsi="Times New Roman" w:cs="Times New Roman"/>
          <w:sz w:val="24"/>
          <w:szCs w:val="24"/>
        </w:rPr>
      </w:pPr>
      <w:r>
        <w:rPr>
          <w:rFonts w:ascii="Times New Roman" w:hAnsi="Times New Roman" w:cs="Times New Roman"/>
          <w:i/>
          <w:sz w:val="24"/>
          <w:szCs w:val="24"/>
        </w:rPr>
        <w:t>Y</w:t>
      </w:r>
      <w:r w:rsidR="009D5135">
        <w:rPr>
          <w:rFonts w:ascii="Times New Roman" w:hAnsi="Times New Roman" w:cs="Times New Roman"/>
          <w:i/>
          <w:sz w:val="24"/>
          <w:szCs w:val="24"/>
          <w:vertAlign w:val="subscript"/>
        </w:rPr>
        <w:t>its</w:t>
      </w:r>
      <w:r w:rsidR="009D5135">
        <w:rPr>
          <w:rFonts w:ascii="Times New Roman" w:hAnsi="Times New Roman" w:cs="Times New Roman"/>
          <w:sz w:val="24"/>
          <w:szCs w:val="24"/>
        </w:rPr>
        <w:t xml:space="preserve"> : Labor-force outcome for woman </w:t>
      </w:r>
      <w:r w:rsidR="0002022E">
        <w:rPr>
          <w:rFonts w:ascii="Times New Roman" w:hAnsi="Times New Roman" w:cs="Times New Roman"/>
          <w:i/>
          <w:sz w:val="24"/>
          <w:szCs w:val="24"/>
        </w:rPr>
        <w:t>i</w:t>
      </w:r>
      <w:r w:rsidR="009D5135">
        <w:rPr>
          <w:rFonts w:ascii="Times New Roman" w:hAnsi="Times New Roman" w:cs="Times New Roman"/>
          <w:sz w:val="24"/>
          <w:szCs w:val="24"/>
        </w:rPr>
        <w:t xml:space="preserve"> living in state </w:t>
      </w:r>
      <w:r w:rsidR="009D5135">
        <w:rPr>
          <w:rFonts w:ascii="Times New Roman" w:hAnsi="Times New Roman" w:cs="Times New Roman"/>
          <w:i/>
          <w:sz w:val="24"/>
          <w:szCs w:val="24"/>
        </w:rPr>
        <w:t>s</w:t>
      </w:r>
      <w:r w:rsidR="009D5135">
        <w:rPr>
          <w:rFonts w:ascii="Times New Roman" w:hAnsi="Times New Roman" w:cs="Times New Roman"/>
          <w:sz w:val="24"/>
          <w:szCs w:val="24"/>
        </w:rPr>
        <w:t xml:space="preserve"> in period </w:t>
      </w:r>
      <w:r w:rsidR="009D5135">
        <w:rPr>
          <w:rFonts w:ascii="Times New Roman" w:hAnsi="Times New Roman" w:cs="Times New Roman"/>
          <w:i/>
          <w:sz w:val="24"/>
          <w:szCs w:val="24"/>
        </w:rPr>
        <w:t>t</w:t>
      </w:r>
      <w:r w:rsidR="009D5135">
        <w:rPr>
          <w:rFonts w:ascii="Times New Roman" w:hAnsi="Times New Roman" w:cs="Times New Roman"/>
          <w:sz w:val="24"/>
          <w:szCs w:val="24"/>
        </w:rPr>
        <w:t xml:space="preserve"> </w:t>
      </w:r>
    </w:p>
    <w:p w14:paraId="2B6BE36E" w14:textId="44185E86" w:rsidR="002169FA" w:rsidRPr="00F75E33"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λ</w:t>
      </w:r>
      <w:r>
        <w:rPr>
          <w:rFonts w:ascii="Times New Roman" w:hAnsi="Times New Roman" w:cs="Times New Roman"/>
          <w:i/>
          <w:sz w:val="24"/>
          <w:szCs w:val="24"/>
          <w:vertAlign w:val="subscript"/>
        </w:rPr>
        <w:t>t</w:t>
      </w:r>
      <w:r>
        <w:rPr>
          <w:rFonts w:ascii="Times New Roman" w:hAnsi="Times New Roman" w:cs="Times New Roman"/>
          <w:i/>
          <w:sz w:val="24"/>
          <w:szCs w:val="24"/>
        </w:rPr>
        <w:t xml:space="preserve"> </w:t>
      </w:r>
      <w:r>
        <w:rPr>
          <w:rFonts w:ascii="Times New Roman" w:hAnsi="Times New Roman" w:cs="Times New Roman"/>
          <w:sz w:val="24"/>
          <w:szCs w:val="24"/>
        </w:rPr>
        <w:t xml:space="preserve">: </w:t>
      </w:r>
      <w:r w:rsidR="007E2EC6">
        <w:rPr>
          <w:rFonts w:ascii="Times New Roman" w:hAnsi="Times New Roman" w:cs="Times New Roman"/>
          <w:sz w:val="24"/>
          <w:szCs w:val="24"/>
        </w:rPr>
        <w:t>Year Indicators</w:t>
      </w:r>
    </w:p>
    <w:p w14:paraId="7DA842D1" w14:textId="0645F017" w:rsidR="001A3527" w:rsidRDefault="002169FA" w:rsidP="002169FA">
      <w:pPr>
        <w:contextualSpacing/>
        <w:rPr>
          <w:rFonts w:ascii="Times New Roman" w:hAnsi="Times New Roman" w:cs="Times New Roman"/>
          <w:sz w:val="24"/>
          <w:szCs w:val="24"/>
        </w:rPr>
      </w:pPr>
      <w:r w:rsidRPr="00F75E33">
        <w:rPr>
          <w:rFonts w:ascii="Times New Roman" w:hAnsi="Times New Roman" w:cs="Times New Roman"/>
          <w:i/>
          <w:sz w:val="24"/>
          <w:szCs w:val="24"/>
        </w:rPr>
        <w:t>θ</w:t>
      </w:r>
      <w:r>
        <w:rPr>
          <w:rFonts w:ascii="Times New Roman" w:hAnsi="Times New Roman" w:cs="Times New Roman"/>
          <w:i/>
          <w:sz w:val="24"/>
          <w:szCs w:val="24"/>
          <w:vertAlign w:val="subscript"/>
        </w:rPr>
        <w:t>s</w:t>
      </w:r>
      <w:r>
        <w:rPr>
          <w:rFonts w:ascii="Times New Roman" w:hAnsi="Times New Roman" w:cs="Times New Roman"/>
          <w:i/>
          <w:sz w:val="24"/>
          <w:szCs w:val="24"/>
        </w:rPr>
        <w:t xml:space="preserve"> </w:t>
      </w:r>
      <w:r>
        <w:rPr>
          <w:rFonts w:ascii="Times New Roman" w:hAnsi="Times New Roman" w:cs="Times New Roman"/>
          <w:sz w:val="24"/>
          <w:szCs w:val="24"/>
        </w:rPr>
        <w:t>:</w:t>
      </w:r>
      <w:r w:rsidR="007E2EC6">
        <w:rPr>
          <w:rFonts w:ascii="Times New Roman" w:hAnsi="Times New Roman" w:cs="Times New Roman"/>
          <w:sz w:val="24"/>
          <w:szCs w:val="24"/>
        </w:rPr>
        <w:t xml:space="preserve"> State Indicators</w:t>
      </w:r>
    </w:p>
    <w:p w14:paraId="4D34747E" w14:textId="677D84FD" w:rsidR="001A3527" w:rsidRPr="001A3527" w:rsidRDefault="0063466F" w:rsidP="002169FA">
      <w:pPr>
        <w:contextualSpacing/>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sz w:val="24"/>
                    <w:szCs w:val="24"/>
                  </w:rPr>
                  <m:t>B</m:t>
                </m:r>
              </m:e>
              <m:sub>
                <m:r>
                  <w:rPr>
                    <w:rFonts w:ascii="Cambria Math" w:hAnsi="Cambria Math" w:cs="Times New Roman"/>
                    <w:sz w:val="24"/>
                    <w:szCs w:val="24"/>
                  </w:rPr>
                  <m:t>it</m:t>
                </m:r>
              </m:sub>
              <m:sup>
                <m:r>
                  <w:rPr>
                    <w:rFonts w:ascii="Cambria Math" w:hAnsi="Cambria Math" w:cs="Times New Roman"/>
                    <w:sz w:val="24"/>
                    <w:szCs w:val="24"/>
                  </w:rPr>
                  <m:t>j</m:t>
                </m:r>
              </m:sup>
            </m:sSubSup>
          </m:e>
        </m:nary>
      </m:oMath>
      <w:r w:rsidR="001A3527">
        <w:rPr>
          <w:rFonts w:ascii="Times New Roman" w:eastAsiaTheme="minorEastAsia" w:hAnsi="Times New Roman" w:cs="Times New Roman"/>
          <w:sz w:val="24"/>
          <w:szCs w:val="24"/>
        </w:rPr>
        <w:t>: Months Since Birth Indicators</w:t>
      </w:r>
    </w:p>
    <w:p w14:paraId="39E24CD3" w14:textId="77777777" w:rsidR="00F75E33" w:rsidRDefault="00F75E33">
      <w:pPr>
        <w:contextualSpacing/>
        <w:rPr>
          <w:rFonts w:ascii="Times New Roman" w:hAnsi="Times New Roman" w:cs="Times New Roman"/>
          <w:sz w:val="24"/>
          <w:szCs w:val="24"/>
        </w:rPr>
      </w:pPr>
    </w:p>
    <w:p w14:paraId="72F5882F" w14:textId="362CE4E8" w:rsidR="003C41AF" w:rsidRDefault="003C41AF">
      <w:pPr>
        <w:contextualSpacing/>
        <w:rPr>
          <w:rFonts w:ascii="Times New Roman" w:hAnsi="Times New Roman" w:cs="Times New Roman"/>
          <w:sz w:val="24"/>
          <w:szCs w:val="24"/>
        </w:rPr>
      </w:pPr>
      <w:r>
        <w:rPr>
          <w:rFonts w:ascii="Times New Roman" w:hAnsi="Times New Roman" w:cs="Times New Roman"/>
          <w:sz w:val="24"/>
          <w:szCs w:val="24"/>
        </w:rPr>
        <w:t>Basic Generalized Difference in Difference Est</w:t>
      </w:r>
      <w:r w:rsidR="002169FA">
        <w:rPr>
          <w:rFonts w:ascii="Times New Roman" w:hAnsi="Times New Roman" w:cs="Times New Roman"/>
          <w:sz w:val="24"/>
          <w:szCs w:val="24"/>
        </w:rPr>
        <w:t>imation: Bertrand et al. (2004)</w:t>
      </w:r>
    </w:p>
    <w:p w14:paraId="2301CD8A" w14:textId="60B8C509" w:rsidR="00F75E33" w:rsidRPr="00F75E33" w:rsidRDefault="00F75E33" w:rsidP="002169FA">
      <w:pPr>
        <w:contextualSpacing/>
        <w:rPr>
          <w:rFonts w:ascii="Times New Roman" w:hAnsi="Times New Roman" w:cs="Times New Roman"/>
          <w:sz w:val="24"/>
          <w:szCs w:val="24"/>
        </w:rPr>
      </w:pPr>
      <w:r w:rsidRPr="00F75E33">
        <w:rPr>
          <w:rFonts w:ascii="Times New Roman" w:hAnsi="Times New Roman" w:cs="Times New Roman"/>
          <w:sz w:val="24"/>
          <w:szCs w:val="24"/>
        </w:rPr>
        <w:softHyphen/>
      </w:r>
    </w:p>
    <w:p w14:paraId="1D4C00EF" w14:textId="3CC998E9" w:rsidR="003C41AF" w:rsidRPr="002169FA" w:rsidRDefault="0063466F">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+β Policy+</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its</m:t>
              </m:r>
            </m:sub>
          </m:sSub>
          <m:r>
            <w:rPr>
              <w:rFonts w:ascii="Cambria Math" w:hAnsi="Cambria Math" w:cs="Times New Roman"/>
            </w:rPr>
            <m:t xml:space="preserve"> </m:t>
          </m:r>
        </m:oMath>
      </m:oMathPara>
    </w:p>
    <w:p w14:paraId="522651D1" w14:textId="73E3D390" w:rsidR="002169FA" w:rsidRPr="004E615D" w:rsidRDefault="002169FA">
      <w:pPr>
        <w:contextualSpacing/>
        <w:rPr>
          <w:rFonts w:ascii="Times New Roman" w:eastAsiaTheme="minorEastAsia" w:hAnsi="Times New Roman" w:cs="Times New Roman"/>
          <w:sz w:val="24"/>
          <w:szCs w:val="24"/>
        </w:rPr>
      </w:pPr>
    </w:p>
    <w:p w14:paraId="06384329" w14:textId="34AC0584" w:rsidR="004E615D" w:rsidRDefault="004E615D">
      <w:pPr>
        <w:contextualSpacing/>
        <w:rPr>
          <w:rFonts w:ascii="Times New Roman" w:eastAsiaTheme="minorEastAsia" w:hAnsi="Times New Roman" w:cs="Times New Roman"/>
          <w:sz w:val="24"/>
          <w:szCs w:val="24"/>
        </w:rPr>
      </w:pPr>
      <w:r w:rsidRPr="004E615D">
        <w:rPr>
          <w:rFonts w:ascii="Times New Roman" w:eastAsiaTheme="minorEastAsia" w:hAnsi="Times New Roman" w:cs="Times New Roman"/>
          <w:sz w:val="24"/>
          <w:szCs w:val="24"/>
        </w:rPr>
        <w:t>Interacted Difference in Difference Estimation</w:t>
      </w:r>
    </w:p>
    <w:p w14:paraId="465C671A" w14:textId="61EC3B97" w:rsidR="00537362" w:rsidRDefault="00537362">
      <w:pPr>
        <w:contextualSpacing/>
        <w:rPr>
          <w:rFonts w:ascii="Times New Roman" w:eastAsiaTheme="minorEastAsia" w:hAnsi="Times New Roman" w:cs="Times New Roman"/>
          <w:sz w:val="24"/>
          <w:szCs w:val="24"/>
        </w:rPr>
      </w:pPr>
    </w:p>
    <w:p w14:paraId="3EB70651" w14:textId="094154EE" w:rsidR="00537362" w:rsidRPr="00161FD9" w:rsidRDefault="0063466F">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08644995" w14:textId="77777777" w:rsidR="00161FD9" w:rsidRDefault="00161FD9">
      <w:pPr>
        <w:contextualSpacing/>
        <w:rPr>
          <w:rFonts w:ascii="Times New Roman" w:hAnsi="Times New Roman" w:cs="Times New Roman"/>
          <w:sz w:val="24"/>
          <w:szCs w:val="24"/>
        </w:rPr>
      </w:pPr>
    </w:p>
    <w:p w14:paraId="7FC51326" w14:textId="4C233986" w:rsidR="00F15B17" w:rsidRDefault="00FC0AE6">
      <w:pPr>
        <w:contextualSpacing/>
        <w:rPr>
          <w:rFonts w:ascii="Times New Roman" w:hAnsi="Times New Roman" w:cs="Times New Roman"/>
          <w:sz w:val="24"/>
          <w:szCs w:val="24"/>
        </w:rPr>
      </w:pPr>
      <w:r>
        <w:rPr>
          <w:rFonts w:ascii="Times New Roman" w:hAnsi="Times New Roman" w:cs="Times New Roman"/>
          <w:sz w:val="24"/>
          <w:szCs w:val="24"/>
        </w:rPr>
        <w:t>Full</w:t>
      </w:r>
      <w:r w:rsidR="00161FD9">
        <w:rPr>
          <w:rFonts w:ascii="Times New Roman" w:hAnsi="Times New Roman" w:cs="Times New Roman"/>
          <w:sz w:val="24"/>
          <w:szCs w:val="24"/>
        </w:rPr>
        <w:t xml:space="preserve"> Model</w:t>
      </w:r>
    </w:p>
    <w:p w14:paraId="03AA755F" w14:textId="77777777" w:rsidR="00534256" w:rsidRDefault="00534256">
      <w:pPr>
        <w:contextualSpacing/>
        <w:rPr>
          <w:rFonts w:ascii="Times New Roman" w:hAnsi="Times New Roman" w:cs="Times New Roman"/>
          <w:sz w:val="24"/>
          <w:szCs w:val="24"/>
        </w:rPr>
      </w:pPr>
    </w:p>
    <w:p w14:paraId="27077A54" w14:textId="322518EC" w:rsidR="007C6007" w:rsidRPr="007C6007" w:rsidRDefault="0063466F" w:rsidP="007C6007">
      <w:pPr>
        <w:contextualSpacing/>
        <w:rPr>
          <w:rFonts w:ascii="Times New Roman" w:eastAsiaTheme="minorEastAsia" w:hAnsi="Times New Roman" w:cs="Times New Roman"/>
        </w:rPr>
      </w:pPr>
      <m:oMathPara>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j=-23</m:t>
              </m:r>
            </m:sub>
            <m:sup>
              <m:r>
                <w:rPr>
                  <w:rFonts w:ascii="Cambria Math" w:hAnsi="Cambria Math" w:cs="Times New Roman"/>
                </w:rPr>
                <m:t>24</m:t>
              </m:r>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j</m:t>
                  </m:r>
                </m:sub>
              </m:sSub>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it</m:t>
                  </m:r>
                </m:sub>
                <m:sup>
                  <m:r>
                    <w:rPr>
                      <w:rFonts w:ascii="Cambria Math" w:hAnsi="Cambria Math" w:cs="Times New Roman"/>
                    </w:rPr>
                    <m:t>j</m:t>
                  </m:r>
                </m:sup>
              </m:sSubSup>
            </m:e>
          </m:nary>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γ</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e>
          </m:nary>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t</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π</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θ</m:t>
                  </m:r>
                </m:e>
                <m:sub>
                  <m:r>
                    <w:rPr>
                      <w:rFonts w:ascii="Cambria Math" w:eastAsiaTheme="minorEastAsia" w:hAnsi="Cambria Math" w:cs="Times New Roman"/>
                    </w:rPr>
                    <m:t>s</m:t>
                  </m:r>
                </m:sub>
              </m:sSub>
              <m:r>
                <w:rPr>
                  <w:rFonts w:ascii="Cambria Math" w:eastAsiaTheme="minorEastAsia" w:hAnsi="Cambria Math" w:cs="Times New Roman"/>
                </w:rPr>
                <m:t>+</m:t>
              </m:r>
              <m:nary>
                <m:naryPr>
                  <m:chr m:val="∑"/>
                  <m:limLoc m:val="undOvr"/>
                  <m:subHide m:val="1"/>
                  <m:supHide m:val="1"/>
                  <m:ctrlPr>
                    <w:rPr>
                      <w:rFonts w:ascii="Cambria Math" w:eastAsiaTheme="minorEastAsia" w:hAnsi="Cambria Math" w:cs="Times New Roman"/>
                      <w:i/>
                    </w:rPr>
                  </m:ctrlPr>
                </m:naryPr>
                <m:sub/>
                <m:sup/>
                <m:e>
                  <m:sSub>
                    <m:sSubPr>
                      <m:ctrlPr>
                        <w:rPr>
                          <w:rFonts w:ascii="Cambria Math" w:eastAsiaTheme="minorEastAsia" w:hAnsi="Cambria Math" w:cs="Times New Roman"/>
                          <w:i/>
                        </w:rPr>
                      </m:ctrlPr>
                    </m:sSubPr>
                    <m:e>
                      <m:r>
                        <w:rPr>
                          <w:rFonts w:ascii="Cambria Math" w:eastAsiaTheme="minorEastAsia" w:hAnsi="Cambria Math" w:cs="Times New Roman"/>
                        </w:rPr>
                        <m:t>β</m:t>
                      </m:r>
                    </m:e>
                    <m:sub>
                      <m:r>
                        <w:rPr>
                          <w:rFonts w:ascii="Cambria Math" w:eastAsiaTheme="minorEastAsia" w:hAnsi="Cambria Math" w:cs="Times New Roman"/>
                        </w:rPr>
                        <m:t>j</m:t>
                      </m:r>
                    </m:sub>
                  </m:sSub>
                  <m:sSubSup>
                    <m:sSubSupPr>
                      <m:ctrlPr>
                        <w:rPr>
                          <w:rFonts w:ascii="Cambria Math" w:eastAsiaTheme="minorEastAsia" w:hAnsi="Cambria Math" w:cs="Times New Roman"/>
                          <w:i/>
                        </w:rPr>
                      </m:ctrlPr>
                    </m:sSubSupPr>
                    <m:e>
                      <m:r>
                        <w:rPr>
                          <w:rFonts w:ascii="Cambria Math" w:eastAsiaTheme="minorEastAsia" w:hAnsi="Cambria Math" w:cs="Times New Roman"/>
                        </w:rPr>
                        <m:t>B</m:t>
                      </m:r>
                    </m:e>
                    <m:sub>
                      <m:r>
                        <w:rPr>
                          <w:rFonts w:ascii="Cambria Math" w:eastAsiaTheme="minorEastAsia" w:hAnsi="Cambria Math" w:cs="Times New Roman"/>
                        </w:rPr>
                        <m:t>it</m:t>
                      </m:r>
                    </m:sub>
                    <m:sup>
                      <m:r>
                        <w:rPr>
                          <w:rFonts w:ascii="Cambria Math" w:eastAsiaTheme="minorEastAsia" w:hAnsi="Cambria Math" w:cs="Times New Roman"/>
                        </w:rPr>
                        <m:t>j</m:t>
                      </m:r>
                    </m:sup>
                  </m:sSub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Policy</m:t>
                      </m:r>
                    </m:e>
                    <m:sub>
                      <m:r>
                        <w:rPr>
                          <w:rFonts w:ascii="Cambria Math" w:eastAsiaTheme="minorEastAsia" w:hAnsi="Cambria Math" w:cs="Times New Roman"/>
                        </w:rPr>
                        <m:t>ts</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ϵ</m:t>
                      </m:r>
                    </m:e>
                    <m:sub>
                      <m:r>
                        <w:rPr>
                          <w:rFonts w:ascii="Cambria Math" w:eastAsiaTheme="minorEastAsia" w:hAnsi="Cambria Math" w:cs="Times New Roman"/>
                        </w:rPr>
                        <m:t>its</m:t>
                      </m:r>
                    </m:sub>
                  </m:sSub>
                </m:e>
              </m:nary>
            </m:e>
          </m:nary>
        </m:oMath>
      </m:oMathPara>
    </w:p>
    <w:p w14:paraId="67148F52" w14:textId="77777777" w:rsidR="007C6007" w:rsidRDefault="007C6007">
      <w:pPr>
        <w:contextualSpacing/>
        <w:rPr>
          <w:rFonts w:ascii="Times New Roman" w:hAnsi="Times New Roman" w:cs="Times New Roman"/>
          <w:sz w:val="24"/>
          <w:szCs w:val="24"/>
        </w:rPr>
      </w:pPr>
    </w:p>
    <w:p w14:paraId="035E3978" w14:textId="64ECAF79" w:rsidR="00161FD9" w:rsidRDefault="004C6AF9">
      <w:pPr>
        <w:contextualSpacing/>
        <w:rPr>
          <w:rFonts w:ascii="Times New Roman" w:hAnsi="Times New Roman" w:cs="Times New Roman"/>
          <w:sz w:val="24"/>
          <w:szCs w:val="24"/>
        </w:rPr>
      </w:pPr>
      <w:r>
        <w:rPr>
          <w:rFonts w:ascii="Times New Roman" w:hAnsi="Times New Roman" w:cs="Times New Roman"/>
          <w:sz w:val="24"/>
          <w:szCs w:val="24"/>
        </w:rPr>
        <w:t>Assumptions:</w:t>
      </w:r>
    </w:p>
    <w:p w14:paraId="47275343" w14:textId="2B21985C" w:rsidR="00C50D65" w:rsidRDefault="00C50D65">
      <w:pPr>
        <w:contextualSpacing/>
        <w:rPr>
          <w:rFonts w:ascii="Times New Roman" w:hAnsi="Times New Roman" w:cs="Times New Roman"/>
          <w:sz w:val="24"/>
          <w:szCs w:val="24"/>
        </w:rPr>
      </w:pPr>
    </w:p>
    <w:p w14:paraId="4CB25EDB" w14:textId="77777777" w:rsidR="008F0660" w:rsidRDefault="00C50D65">
      <w:pPr>
        <w:contextualSpacing/>
        <w:rPr>
          <w:rFonts w:ascii="Times New Roman" w:hAnsi="Times New Roman" w:cs="Times New Roman"/>
          <w:sz w:val="24"/>
          <w:szCs w:val="24"/>
        </w:rPr>
      </w:pPr>
      <w:r>
        <w:rPr>
          <w:rFonts w:ascii="Times New Roman" w:hAnsi="Times New Roman" w:cs="Times New Roman"/>
          <w:sz w:val="24"/>
          <w:szCs w:val="24"/>
        </w:rPr>
        <w:t xml:space="preserve">Parallel Trends Assumption: </w:t>
      </w:r>
    </w:p>
    <w:p w14:paraId="42DEC682" w14:textId="4E772AD0" w:rsidR="00C50D65" w:rsidRDefault="00C50D65" w:rsidP="008F0660">
      <w:pPr>
        <w:contextualSpacing/>
        <w:rPr>
          <w:rFonts w:ascii="Times New Roman" w:hAnsi="Times New Roman" w:cs="Times New Roman"/>
          <w:sz w:val="24"/>
          <w:szCs w:val="24"/>
        </w:rPr>
      </w:pPr>
      <w:r>
        <w:rPr>
          <w:rFonts w:ascii="Times New Roman" w:hAnsi="Times New Roman" w:cs="Times New Roman"/>
          <w:sz w:val="24"/>
          <w:szCs w:val="24"/>
        </w:rPr>
        <w:t xml:space="preserve">The </w:t>
      </w:r>
      <w:r w:rsidR="008110E2">
        <w:rPr>
          <w:rFonts w:ascii="Times New Roman" w:hAnsi="Times New Roman" w:cs="Times New Roman"/>
          <w:sz w:val="24"/>
          <w:szCs w:val="24"/>
        </w:rPr>
        <w:t>parallel trends assumption is violated if there exists unobserved time-varying confounding.</w:t>
      </w:r>
    </w:p>
    <w:p w14:paraId="284A39E4" w14:textId="77777777" w:rsidR="00C50D65" w:rsidRDefault="00C50D65">
      <w:pPr>
        <w:contextualSpacing/>
        <w:rPr>
          <w:rFonts w:ascii="Times New Roman" w:hAnsi="Times New Roman" w:cs="Times New Roman"/>
          <w:sz w:val="24"/>
          <w:szCs w:val="24"/>
        </w:rPr>
      </w:pPr>
    </w:p>
    <w:p w14:paraId="2E84ED87" w14:textId="77777777" w:rsidR="008F0660" w:rsidRDefault="00C50D65">
      <w:pPr>
        <w:contextualSpacing/>
        <w:rPr>
          <w:rFonts w:ascii="Times New Roman" w:hAnsi="Times New Roman" w:cs="Times New Roman"/>
          <w:sz w:val="24"/>
          <w:szCs w:val="24"/>
        </w:rPr>
      </w:pPr>
      <w:r>
        <w:rPr>
          <w:rFonts w:ascii="Times New Roman" w:hAnsi="Times New Roman" w:cs="Times New Roman"/>
          <w:sz w:val="24"/>
          <w:szCs w:val="24"/>
        </w:rPr>
        <w:t xml:space="preserve">Exogeneity of Treatment: </w:t>
      </w:r>
    </w:p>
    <w:p w14:paraId="5F2B99C2" w14:textId="32BA420E" w:rsidR="004C6AF9" w:rsidRDefault="00C50D65" w:rsidP="008F0660">
      <w:pPr>
        <w:contextualSpacing/>
        <w:rPr>
          <w:rFonts w:ascii="Times New Roman" w:hAnsi="Times New Roman" w:cs="Times New Roman"/>
          <w:sz w:val="24"/>
          <w:szCs w:val="24"/>
        </w:rPr>
      </w:pPr>
      <w:r>
        <w:rPr>
          <w:rFonts w:ascii="Times New Roman" w:hAnsi="Times New Roman" w:cs="Times New Roman"/>
          <w:sz w:val="24"/>
          <w:szCs w:val="24"/>
        </w:rPr>
        <w:t xml:space="preserve">Unbiased difference-in-difference estimation requires the assumption that the assignment of treatment is not caused in any way by the outcome variable. In this case, it is likely that the assumption holds, as is unlikely that policy-makers enacted paid leave policies as a result of any particular pattern of mothers’ labor force participation. </w:t>
      </w:r>
    </w:p>
    <w:p w14:paraId="0F11D281" w14:textId="39C553EA" w:rsidR="008110E2" w:rsidRDefault="008110E2">
      <w:pPr>
        <w:contextualSpacing/>
        <w:rPr>
          <w:rFonts w:ascii="Times New Roman" w:hAnsi="Times New Roman" w:cs="Times New Roman"/>
          <w:sz w:val="24"/>
          <w:szCs w:val="24"/>
        </w:rPr>
      </w:pPr>
    </w:p>
    <w:p w14:paraId="6231028F" w14:textId="44171E72" w:rsidR="008110E2" w:rsidRDefault="008F0660">
      <w:pPr>
        <w:contextualSpacing/>
        <w:rPr>
          <w:rFonts w:ascii="Times New Roman" w:hAnsi="Times New Roman" w:cs="Times New Roman"/>
          <w:sz w:val="24"/>
          <w:szCs w:val="24"/>
        </w:rPr>
      </w:pPr>
      <w:r>
        <w:rPr>
          <w:rFonts w:ascii="Times New Roman" w:hAnsi="Times New Roman" w:cs="Times New Roman"/>
          <w:sz w:val="24"/>
          <w:szCs w:val="24"/>
        </w:rPr>
        <w:t xml:space="preserve">No </w:t>
      </w:r>
      <w:r w:rsidR="00285189">
        <w:rPr>
          <w:rFonts w:ascii="Times New Roman" w:hAnsi="Times New Roman" w:cs="Times New Roman"/>
          <w:sz w:val="24"/>
          <w:szCs w:val="24"/>
        </w:rPr>
        <w:t>Effect of Treatment on pre-Treatment Population:</w:t>
      </w:r>
    </w:p>
    <w:p w14:paraId="17E677CE" w14:textId="71500973" w:rsidR="00C50D65" w:rsidRDefault="00915A37">
      <w:pPr>
        <w:contextualSpacing/>
        <w:rPr>
          <w:rFonts w:ascii="Times New Roman" w:hAnsi="Times New Roman" w:cs="Times New Roman"/>
          <w:sz w:val="24"/>
          <w:szCs w:val="24"/>
        </w:rPr>
      </w:pPr>
      <w:r>
        <w:rPr>
          <w:rFonts w:ascii="Times New Roman" w:hAnsi="Times New Roman" w:cs="Times New Roman"/>
          <w:sz w:val="24"/>
          <w:szCs w:val="24"/>
        </w:rPr>
        <w:t>Unbiased difference-in-difference estimation requires the assumption that pre-treatment outcomes are not affected by treatment. That is, we assume that mothers do not anticipate the implementation of a paid leave policy and adjust their labor force participation accordingly. It is quite possible that this assumption is violated in this analysis. Mothers expecting shortly before the implementation of a paid leave policy, who would otherwise have dropped out of the labor-force, may have stayed in the labor-force anticipating eligibility for paid leave once the policy came into effect. However,</w:t>
      </w:r>
      <w:r w:rsidR="00923AAE">
        <w:rPr>
          <w:rFonts w:ascii="Times New Roman" w:hAnsi="Times New Roman" w:cs="Times New Roman"/>
          <w:sz w:val="24"/>
          <w:szCs w:val="24"/>
        </w:rPr>
        <w:t xml:space="preserve"> </w:t>
      </w:r>
      <w:r w:rsidR="00B95D5E">
        <w:rPr>
          <w:rFonts w:ascii="Times New Roman" w:hAnsi="Times New Roman" w:cs="Times New Roman"/>
          <w:sz w:val="24"/>
          <w:szCs w:val="24"/>
        </w:rPr>
        <w:t>if</w:t>
      </w:r>
      <w:r>
        <w:rPr>
          <w:rFonts w:ascii="Times New Roman" w:hAnsi="Times New Roman" w:cs="Times New Roman"/>
          <w:sz w:val="24"/>
          <w:szCs w:val="24"/>
        </w:rPr>
        <w:t xml:space="preserve"> the proportion of mothers who were preg</w:t>
      </w:r>
      <w:r w:rsidR="00D56DC5">
        <w:rPr>
          <w:rFonts w:ascii="Times New Roman" w:hAnsi="Times New Roman" w:cs="Times New Roman"/>
          <w:sz w:val="24"/>
          <w:szCs w:val="24"/>
        </w:rPr>
        <w:t xml:space="preserve">nant in the 9 months before the implementation of a paid leave policy is small compared to the total sample, the effect on the DiD coefficients is likely to also be small. </w:t>
      </w:r>
    </w:p>
    <w:p w14:paraId="238431F4" w14:textId="77777777" w:rsidR="00C50D65" w:rsidRDefault="00C50D65">
      <w:pPr>
        <w:contextualSpacing/>
        <w:rPr>
          <w:rFonts w:ascii="Times New Roman" w:hAnsi="Times New Roman" w:cs="Times New Roman"/>
          <w:sz w:val="24"/>
          <w:szCs w:val="24"/>
        </w:rPr>
      </w:pPr>
    </w:p>
    <w:p w14:paraId="797943C4" w14:textId="77777777" w:rsidR="00C50D65" w:rsidRPr="00F15B17" w:rsidRDefault="00C50D65">
      <w:pPr>
        <w:contextualSpacing/>
        <w:rPr>
          <w:rFonts w:ascii="Times New Roman" w:hAnsi="Times New Roman" w:cs="Times New Roman"/>
          <w:sz w:val="24"/>
          <w:szCs w:val="24"/>
        </w:rPr>
      </w:pPr>
    </w:p>
    <w:p w14:paraId="316D2B3C" w14:textId="188D06EC" w:rsidR="00CF572E" w:rsidRDefault="00CF572E">
      <w:pPr>
        <w:contextualSpacing/>
        <w:rPr>
          <w:rFonts w:ascii="Times New Roman" w:hAnsi="Times New Roman" w:cs="Times New Roman"/>
          <w:sz w:val="24"/>
          <w:szCs w:val="24"/>
        </w:rPr>
      </w:pPr>
      <w:r>
        <w:rPr>
          <w:rFonts w:ascii="Times New Roman" w:hAnsi="Times New Roman" w:cs="Times New Roman"/>
          <w:b/>
          <w:sz w:val="24"/>
          <w:szCs w:val="24"/>
        </w:rPr>
        <w:t>Results</w:t>
      </w:r>
    </w:p>
    <w:p w14:paraId="2721DA81" w14:textId="3551D8B1" w:rsidR="006D21E5" w:rsidRDefault="006D21E5">
      <w:pPr>
        <w:contextualSpacing/>
        <w:rPr>
          <w:rFonts w:ascii="Times New Roman" w:hAnsi="Times New Roman" w:cs="Times New Roman"/>
          <w:sz w:val="24"/>
          <w:szCs w:val="24"/>
        </w:rPr>
      </w:pPr>
    </w:p>
    <w:p w14:paraId="1FF2C0B1" w14:textId="6C313F9D" w:rsidR="00915A37" w:rsidRDefault="00702CAF">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A1A3847" wp14:editId="2A286ED9">
            <wp:extent cx="5943600" cy="7132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lfp_ols_3.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1C9DD60D" w14:textId="5FE55716" w:rsidR="007F7A34" w:rsidRDefault="003042EE">
      <w:pPr>
        <w:contextualSpacing/>
        <w:rPr>
          <w:rFonts w:ascii="Times New Roman" w:hAnsi="Times New Roman" w:cs="Times New Roman"/>
          <w:sz w:val="24"/>
          <w:szCs w:val="24"/>
        </w:rPr>
      </w:pPr>
      <w:r>
        <w:rPr>
          <w:rFonts w:ascii="Times New Roman" w:hAnsi="Times New Roman" w:cs="Times New Roman"/>
          <w:sz w:val="24"/>
          <w:szCs w:val="24"/>
        </w:rPr>
        <w:t>Dependent Variable: LFP</w:t>
      </w:r>
    </w:p>
    <w:p w14:paraId="3862607F" w14:textId="6E004D2E"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02CAF" w14:paraId="08CA0DA0" w14:textId="2D808D6D" w:rsidTr="00702CAF">
        <w:tc>
          <w:tcPr>
            <w:tcW w:w="2482" w:type="dxa"/>
          </w:tcPr>
          <w:p w14:paraId="305CFD7F" w14:textId="7693B58D" w:rsidR="00702CAF" w:rsidRDefault="008620A5">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7A75C547" w14:textId="1F780DF0"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+3</w:t>
            </w:r>
            <w:r w:rsidR="008620A5">
              <w:rPr>
                <w:rFonts w:ascii="Times New Roman" w:hAnsi="Times New Roman" w:cs="Times New Roman"/>
                <w:sz w:val="24"/>
                <w:szCs w:val="24"/>
              </w:rPr>
              <w:t xml:space="preserve"> </w:t>
            </w:r>
          </w:p>
        </w:tc>
        <w:tc>
          <w:tcPr>
            <w:tcW w:w="2333" w:type="dxa"/>
          </w:tcPr>
          <w:p w14:paraId="131E3453" w14:textId="4F4DD99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37BE59D4" w14:textId="6A291C2F" w:rsidR="00702CAF" w:rsidRDefault="009927C8" w:rsidP="00702CAF">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02CAF" w14:paraId="05399DAA" w14:textId="1C88DB95" w:rsidTr="00702CAF">
        <w:tc>
          <w:tcPr>
            <w:tcW w:w="2482" w:type="dxa"/>
          </w:tcPr>
          <w:p w14:paraId="4A7972D0" w14:textId="1BA8CE9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Full Sample</w:t>
            </w:r>
            <w:r w:rsidR="008620A5">
              <w:rPr>
                <w:rFonts w:ascii="Times New Roman" w:hAnsi="Times New Roman" w:cs="Times New Roman"/>
                <w:sz w:val="24"/>
                <w:szCs w:val="24"/>
              </w:rPr>
              <w:t xml:space="preserve"> </w:t>
            </w:r>
          </w:p>
        </w:tc>
        <w:tc>
          <w:tcPr>
            <w:tcW w:w="2333" w:type="dxa"/>
          </w:tcPr>
          <w:p w14:paraId="30367E8A" w14:textId="1A2002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0.12</w:t>
            </w:r>
          </w:p>
        </w:tc>
        <w:tc>
          <w:tcPr>
            <w:tcW w:w="2333" w:type="dxa"/>
          </w:tcPr>
          <w:p w14:paraId="35A139F8" w14:textId="568D94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0.33</w:t>
            </w:r>
          </w:p>
        </w:tc>
        <w:tc>
          <w:tcPr>
            <w:tcW w:w="2202" w:type="dxa"/>
          </w:tcPr>
          <w:p w14:paraId="495C9422" w14:textId="65E2869B"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.47</w:t>
            </w:r>
          </w:p>
        </w:tc>
      </w:tr>
      <w:tr w:rsidR="00702CAF" w14:paraId="1830C41E" w14:textId="7FABAE3F" w:rsidTr="00702CAF">
        <w:tc>
          <w:tcPr>
            <w:tcW w:w="2482" w:type="dxa"/>
          </w:tcPr>
          <w:p w14:paraId="3D6491A4" w14:textId="04D7BAFF"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56340C8E" w14:textId="1437C934"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0.78</w:t>
            </w:r>
          </w:p>
        </w:tc>
        <w:tc>
          <w:tcPr>
            <w:tcW w:w="2333" w:type="dxa"/>
          </w:tcPr>
          <w:p w14:paraId="25D28478" w14:textId="7AD1FBA8"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0.36</w:t>
            </w:r>
          </w:p>
        </w:tc>
        <w:tc>
          <w:tcPr>
            <w:tcW w:w="2202" w:type="dxa"/>
          </w:tcPr>
          <w:p w14:paraId="7848952E" w14:textId="08031C9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.52</w:t>
            </w:r>
          </w:p>
        </w:tc>
      </w:tr>
      <w:tr w:rsidR="00702CAF" w14:paraId="26CC6906" w14:textId="138FEDF0" w:rsidTr="00702CAF">
        <w:tc>
          <w:tcPr>
            <w:tcW w:w="2482" w:type="dxa"/>
          </w:tcPr>
          <w:p w14:paraId="4ACDCDB7" w14:textId="0BD6FD70"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lastRenderedPageBreak/>
              <w:t>Less Than College</w:t>
            </w:r>
          </w:p>
        </w:tc>
        <w:tc>
          <w:tcPr>
            <w:tcW w:w="2333" w:type="dxa"/>
          </w:tcPr>
          <w:p w14:paraId="5459BECB" w14:textId="0EBDE35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0.02</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333" w:type="dxa"/>
          </w:tcPr>
          <w:p w14:paraId="11F95F5F" w14:textId="25C85DC6" w:rsidR="00702CAF" w:rsidRDefault="00306539" w:rsidP="00702CAF">
            <w:pPr>
              <w:contextualSpacing/>
              <w:jc w:val="center"/>
              <w:rPr>
                <w:rFonts w:ascii="Times New Roman" w:hAnsi="Times New Roman" w:cs="Times New Roman"/>
                <w:sz w:val="24"/>
                <w:szCs w:val="24"/>
              </w:rPr>
            </w:pPr>
            <w:r>
              <w:rPr>
                <w:rFonts w:ascii="Times New Roman" w:hAnsi="Times New Roman" w:cs="Times New Roman"/>
                <w:sz w:val="24"/>
                <w:szCs w:val="24"/>
              </w:rPr>
              <w:t>0.045</w:t>
            </w:r>
            <w:r w:rsidR="007D17C6">
              <w:rPr>
                <w:rFonts w:ascii="Times New Roman" w:hAnsi="Times New Roman" w:cs="Times New Roman"/>
                <w:sz w:val="24"/>
                <w:szCs w:val="24"/>
              </w:rPr>
              <w:t>*</w:t>
            </w:r>
            <w:r w:rsidR="00434602">
              <w:rPr>
                <w:rFonts w:ascii="Times New Roman" w:hAnsi="Times New Roman" w:cs="Times New Roman"/>
                <w:sz w:val="24"/>
                <w:szCs w:val="24"/>
              </w:rPr>
              <w:t>*</w:t>
            </w:r>
          </w:p>
        </w:tc>
        <w:tc>
          <w:tcPr>
            <w:tcW w:w="2202" w:type="dxa"/>
          </w:tcPr>
          <w:p w14:paraId="13A7DD24" w14:textId="19E0E7C4"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.48</w:t>
            </w:r>
          </w:p>
        </w:tc>
      </w:tr>
      <w:tr w:rsidR="00702CAF" w14:paraId="77A9A9FD" w14:textId="29DB7676" w:rsidTr="00702CAF">
        <w:tc>
          <w:tcPr>
            <w:tcW w:w="2482" w:type="dxa"/>
          </w:tcPr>
          <w:p w14:paraId="622B6C42" w14:textId="02774209"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36E50415" w14:textId="2CF8BFDF"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333" w:type="dxa"/>
          </w:tcPr>
          <w:p w14:paraId="0ADA66E2" w14:textId="1886E1EB"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0.17</w:t>
            </w:r>
          </w:p>
        </w:tc>
        <w:tc>
          <w:tcPr>
            <w:tcW w:w="2202" w:type="dxa"/>
          </w:tcPr>
          <w:p w14:paraId="635C522D" w14:textId="6D304E66"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.56</w:t>
            </w:r>
          </w:p>
        </w:tc>
      </w:tr>
      <w:tr w:rsidR="00702CAF" w14:paraId="77030358" w14:textId="67C962DC" w:rsidTr="00702CAF">
        <w:tc>
          <w:tcPr>
            <w:tcW w:w="2482" w:type="dxa"/>
          </w:tcPr>
          <w:p w14:paraId="120A5E97" w14:textId="2A8308E2" w:rsidR="00702CAF" w:rsidRDefault="00702CAF">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32DB7876" w14:textId="4B777E82"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333" w:type="dxa"/>
          </w:tcPr>
          <w:p w14:paraId="28A903C9" w14:textId="57D742AE" w:rsidR="00702CAF" w:rsidRDefault="00702CAF" w:rsidP="00702CAF">
            <w:pPr>
              <w:contextualSpacing/>
              <w:jc w:val="center"/>
              <w:rPr>
                <w:rFonts w:ascii="Times New Roman" w:hAnsi="Times New Roman" w:cs="Times New Roman"/>
                <w:sz w:val="24"/>
                <w:szCs w:val="24"/>
              </w:rPr>
            </w:pPr>
            <w:r>
              <w:rPr>
                <w:rFonts w:ascii="Times New Roman" w:hAnsi="Times New Roman" w:cs="Times New Roman"/>
                <w:sz w:val="24"/>
                <w:szCs w:val="24"/>
              </w:rPr>
              <w:t>0.62</w:t>
            </w:r>
          </w:p>
        </w:tc>
        <w:tc>
          <w:tcPr>
            <w:tcW w:w="2202" w:type="dxa"/>
          </w:tcPr>
          <w:p w14:paraId="33E27BF2" w14:textId="3A5DDF43" w:rsidR="00702CAF" w:rsidRDefault="003042EE" w:rsidP="00702CAF">
            <w:pPr>
              <w:contextualSpacing/>
              <w:jc w:val="center"/>
              <w:rPr>
                <w:rFonts w:ascii="Times New Roman" w:hAnsi="Times New Roman" w:cs="Times New Roman"/>
                <w:sz w:val="24"/>
                <w:szCs w:val="24"/>
              </w:rPr>
            </w:pPr>
            <w:r>
              <w:rPr>
                <w:rFonts w:ascii="Times New Roman" w:hAnsi="Times New Roman" w:cs="Times New Roman"/>
                <w:sz w:val="24"/>
                <w:szCs w:val="24"/>
              </w:rPr>
              <w:t>0</w:t>
            </w:r>
            <w:r w:rsidR="009927C8">
              <w:rPr>
                <w:rFonts w:ascii="Times New Roman" w:hAnsi="Times New Roman" w:cs="Times New Roman"/>
                <w:sz w:val="24"/>
                <w:szCs w:val="24"/>
              </w:rPr>
              <w:t>.54</w:t>
            </w:r>
          </w:p>
        </w:tc>
      </w:tr>
    </w:tbl>
    <w:p w14:paraId="297D3F08" w14:textId="293089F3" w:rsidR="00546322" w:rsidRDefault="00546322">
      <w:pPr>
        <w:contextualSpacing/>
        <w:rPr>
          <w:rFonts w:ascii="Times New Roman" w:hAnsi="Times New Roman" w:cs="Times New Roman"/>
          <w:sz w:val="24"/>
          <w:szCs w:val="24"/>
        </w:rPr>
      </w:pPr>
    </w:p>
    <w:p w14:paraId="4628E5E6" w14:textId="2EE1D74D" w:rsidR="00A87A7C" w:rsidRDefault="007F7A34">
      <w:pPr>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0D766C" wp14:editId="02901EF5">
            <wp:extent cx="5943600" cy="7132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working_ols.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3AAF6C61" w14:textId="6E297056" w:rsidR="007F7A34" w:rsidRDefault="007F7A34">
      <w:pPr>
        <w:contextualSpacing/>
        <w:rPr>
          <w:rFonts w:ascii="Times New Roman" w:hAnsi="Times New Roman" w:cs="Times New Roman"/>
          <w:sz w:val="24"/>
          <w:szCs w:val="24"/>
        </w:rPr>
      </w:pPr>
    </w:p>
    <w:p w14:paraId="5AFCBB3D" w14:textId="41283149" w:rsidR="003042EE" w:rsidRDefault="003042EE" w:rsidP="007F7A34">
      <w:pPr>
        <w:contextualSpacing/>
        <w:rPr>
          <w:rFonts w:ascii="Times New Roman" w:hAnsi="Times New Roman" w:cs="Times New Roman"/>
          <w:sz w:val="24"/>
          <w:szCs w:val="24"/>
        </w:rPr>
      </w:pPr>
      <w:r>
        <w:rPr>
          <w:rFonts w:ascii="Times New Roman" w:hAnsi="Times New Roman" w:cs="Times New Roman"/>
          <w:sz w:val="24"/>
          <w:szCs w:val="24"/>
        </w:rPr>
        <w:lastRenderedPageBreak/>
        <w:t>Dependent Variable: Working</w:t>
      </w:r>
    </w:p>
    <w:p w14:paraId="3B962718" w14:textId="7C4AC1E0" w:rsidR="007F7A34" w:rsidRDefault="007F7A34" w:rsidP="007F7A34">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7F7A34" w14:paraId="3D89D9D3" w14:textId="77777777" w:rsidTr="004D06FC">
        <w:tc>
          <w:tcPr>
            <w:tcW w:w="2482" w:type="dxa"/>
          </w:tcPr>
          <w:p w14:paraId="0A6684D6"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1A02B34D"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74A5553B" w14:textId="77777777" w:rsidR="007F7A34" w:rsidRDefault="007F7A34"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05C3A47C" w14:textId="486F6359"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7F7A34" w14:paraId="3CE88652" w14:textId="77777777" w:rsidTr="004D06FC">
        <w:tc>
          <w:tcPr>
            <w:tcW w:w="2482" w:type="dxa"/>
          </w:tcPr>
          <w:p w14:paraId="6C765701"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12F4BC06" w14:textId="0C663EC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0.89</w:t>
            </w:r>
          </w:p>
        </w:tc>
        <w:tc>
          <w:tcPr>
            <w:tcW w:w="2333" w:type="dxa"/>
          </w:tcPr>
          <w:p w14:paraId="51DDF2FE" w14:textId="7E313A06"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0.98</w:t>
            </w:r>
          </w:p>
        </w:tc>
        <w:tc>
          <w:tcPr>
            <w:tcW w:w="2202" w:type="dxa"/>
          </w:tcPr>
          <w:p w14:paraId="4ABFD8AF" w14:textId="09FCC970"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99</w:t>
            </w:r>
          </w:p>
        </w:tc>
      </w:tr>
      <w:tr w:rsidR="007F7A34" w14:paraId="77E9187F" w14:textId="77777777" w:rsidTr="004D06FC">
        <w:tc>
          <w:tcPr>
            <w:tcW w:w="2482" w:type="dxa"/>
          </w:tcPr>
          <w:p w14:paraId="3F75BBF9"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College Educated</w:t>
            </w:r>
          </w:p>
        </w:tc>
        <w:tc>
          <w:tcPr>
            <w:tcW w:w="2333" w:type="dxa"/>
          </w:tcPr>
          <w:p w14:paraId="22B9248A" w14:textId="0E78853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0.76</w:t>
            </w:r>
          </w:p>
        </w:tc>
        <w:tc>
          <w:tcPr>
            <w:tcW w:w="2333" w:type="dxa"/>
          </w:tcPr>
          <w:p w14:paraId="33BB76E2" w14:textId="7D65395F"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39CC9125" w14:textId="41B45517"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87</w:t>
            </w:r>
          </w:p>
        </w:tc>
      </w:tr>
      <w:tr w:rsidR="007F7A34" w14:paraId="3AF2C319" w14:textId="77777777" w:rsidTr="004D06FC">
        <w:tc>
          <w:tcPr>
            <w:tcW w:w="2482" w:type="dxa"/>
          </w:tcPr>
          <w:p w14:paraId="445DBB1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5ADF6467" w14:textId="361C35B4"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0.09</w:t>
            </w:r>
            <w:r w:rsidR="007D17C6">
              <w:rPr>
                <w:rFonts w:ascii="Times New Roman" w:hAnsi="Times New Roman" w:cs="Times New Roman"/>
                <w:sz w:val="24"/>
                <w:szCs w:val="24"/>
              </w:rPr>
              <w:t>*</w:t>
            </w:r>
          </w:p>
        </w:tc>
        <w:tc>
          <w:tcPr>
            <w:tcW w:w="2333" w:type="dxa"/>
          </w:tcPr>
          <w:p w14:paraId="471BB7B5" w14:textId="2C9479BC"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0.24</w:t>
            </w:r>
          </w:p>
        </w:tc>
        <w:tc>
          <w:tcPr>
            <w:tcW w:w="2202" w:type="dxa"/>
          </w:tcPr>
          <w:p w14:paraId="0D637100" w14:textId="7D04C6D6"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67</w:t>
            </w:r>
          </w:p>
        </w:tc>
      </w:tr>
      <w:tr w:rsidR="007F7A34" w14:paraId="6858E3D3" w14:textId="77777777" w:rsidTr="004D06FC">
        <w:tc>
          <w:tcPr>
            <w:tcW w:w="2482" w:type="dxa"/>
          </w:tcPr>
          <w:p w14:paraId="0E337578"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672E38D6" w14:textId="58DEAEE1"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0.83</w:t>
            </w:r>
          </w:p>
        </w:tc>
        <w:tc>
          <w:tcPr>
            <w:tcW w:w="2333" w:type="dxa"/>
          </w:tcPr>
          <w:p w14:paraId="73474514" w14:textId="1EC192A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0.94</w:t>
            </w:r>
          </w:p>
        </w:tc>
        <w:tc>
          <w:tcPr>
            <w:tcW w:w="2202" w:type="dxa"/>
          </w:tcPr>
          <w:p w14:paraId="1031FA38" w14:textId="137F7E9D"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60</w:t>
            </w:r>
          </w:p>
        </w:tc>
      </w:tr>
      <w:tr w:rsidR="007F7A34" w14:paraId="6229BBE7" w14:textId="77777777" w:rsidTr="004D06FC">
        <w:tc>
          <w:tcPr>
            <w:tcW w:w="2482" w:type="dxa"/>
          </w:tcPr>
          <w:p w14:paraId="3528F94F" w14:textId="77777777" w:rsidR="007F7A34" w:rsidRDefault="007F7A34"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7FF11580" w14:textId="0CA70012"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0.65</w:t>
            </w:r>
          </w:p>
        </w:tc>
        <w:tc>
          <w:tcPr>
            <w:tcW w:w="2333" w:type="dxa"/>
          </w:tcPr>
          <w:p w14:paraId="5ED2CC7B" w14:textId="3D71FA63" w:rsidR="007F7A34"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0.95</w:t>
            </w:r>
          </w:p>
        </w:tc>
        <w:tc>
          <w:tcPr>
            <w:tcW w:w="2202" w:type="dxa"/>
          </w:tcPr>
          <w:p w14:paraId="57FB639F" w14:textId="49A94BE4" w:rsidR="007F7A34" w:rsidRDefault="009927C8"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3E50FA">
              <w:rPr>
                <w:rFonts w:ascii="Times New Roman" w:hAnsi="Times New Roman" w:cs="Times New Roman"/>
                <w:sz w:val="24"/>
                <w:szCs w:val="24"/>
              </w:rPr>
              <w:t>94</w:t>
            </w:r>
          </w:p>
        </w:tc>
      </w:tr>
    </w:tbl>
    <w:p w14:paraId="46C77540" w14:textId="4071444B" w:rsidR="007F7A34" w:rsidRDefault="007F7A34">
      <w:pPr>
        <w:contextualSpacing/>
        <w:rPr>
          <w:rFonts w:ascii="Times New Roman" w:hAnsi="Times New Roman" w:cs="Times New Roman"/>
          <w:sz w:val="24"/>
          <w:szCs w:val="24"/>
        </w:rPr>
      </w:pPr>
    </w:p>
    <w:p w14:paraId="5455DABF" w14:textId="2C143857" w:rsidR="003042EE" w:rsidRDefault="003042EE">
      <w:pPr>
        <w:contextual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EC229EA" wp14:editId="019E2562">
            <wp:extent cx="5943600" cy="7132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looking_ol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p w14:paraId="269B0AEE" w14:textId="77777777" w:rsidR="003042EE" w:rsidRDefault="003042EE">
      <w:pPr>
        <w:contextualSpacing/>
        <w:rPr>
          <w:rFonts w:ascii="Times New Roman" w:hAnsi="Times New Roman" w:cs="Times New Roman"/>
          <w:sz w:val="24"/>
          <w:szCs w:val="24"/>
        </w:rPr>
      </w:pPr>
    </w:p>
    <w:p w14:paraId="1EF2DD8F" w14:textId="5339A53A"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Dependent Variable: Looking</w:t>
      </w:r>
    </w:p>
    <w:p w14:paraId="662A8985" w14:textId="77777777" w:rsidR="003042EE" w:rsidRDefault="003042EE" w:rsidP="003042EE">
      <w:pPr>
        <w:contextualSpacing/>
        <w:rPr>
          <w:rFonts w:ascii="Times New Roman" w:hAnsi="Times New Roman" w:cs="Times New Roman"/>
          <w:sz w:val="24"/>
          <w:szCs w:val="24"/>
        </w:rPr>
      </w:pPr>
      <w:r>
        <w:rPr>
          <w:rFonts w:ascii="Times New Roman" w:hAnsi="Times New Roman" w:cs="Times New Roman"/>
          <w:sz w:val="24"/>
          <w:szCs w:val="24"/>
        </w:rPr>
        <w:t>P-Values of Joint Tests for Significance: Months Since Birth * Policy Coefficients</w:t>
      </w:r>
    </w:p>
    <w:tbl>
      <w:tblPr>
        <w:tblStyle w:val="TableGrid"/>
        <w:tblW w:w="0" w:type="auto"/>
        <w:tblLook w:val="04A0" w:firstRow="1" w:lastRow="0" w:firstColumn="1" w:lastColumn="0" w:noHBand="0" w:noVBand="1"/>
      </w:tblPr>
      <w:tblGrid>
        <w:gridCol w:w="2482"/>
        <w:gridCol w:w="2333"/>
        <w:gridCol w:w="2333"/>
        <w:gridCol w:w="2202"/>
      </w:tblGrid>
      <w:tr w:rsidR="003042EE" w14:paraId="79A4FE16" w14:textId="77777777" w:rsidTr="004D06FC">
        <w:tc>
          <w:tcPr>
            <w:tcW w:w="2482" w:type="dxa"/>
          </w:tcPr>
          <w:p w14:paraId="08EA939A"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Months Since Birth</w:t>
            </w:r>
          </w:p>
        </w:tc>
        <w:tc>
          <w:tcPr>
            <w:tcW w:w="2333" w:type="dxa"/>
          </w:tcPr>
          <w:p w14:paraId="2A2D3E15"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 xml:space="preserve">-3 to +3 </w:t>
            </w:r>
          </w:p>
        </w:tc>
        <w:tc>
          <w:tcPr>
            <w:tcW w:w="2333" w:type="dxa"/>
          </w:tcPr>
          <w:p w14:paraId="24B37BE1" w14:textId="777777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 to + 6</w:t>
            </w:r>
          </w:p>
        </w:tc>
        <w:tc>
          <w:tcPr>
            <w:tcW w:w="2202" w:type="dxa"/>
          </w:tcPr>
          <w:p w14:paraId="14A42ED3" w14:textId="4836A0DE" w:rsidR="003042EE" w:rsidRDefault="00B6293E" w:rsidP="004D06FC">
            <w:pPr>
              <w:contextualSpacing/>
              <w:jc w:val="center"/>
              <w:rPr>
                <w:rFonts w:ascii="Times New Roman" w:hAnsi="Times New Roman" w:cs="Times New Roman"/>
                <w:sz w:val="24"/>
                <w:szCs w:val="24"/>
              </w:rPr>
            </w:pPr>
            <w:r>
              <w:rPr>
                <w:rFonts w:ascii="Times New Roman" w:hAnsi="Times New Roman" w:cs="Times New Roman"/>
                <w:sz w:val="24"/>
                <w:szCs w:val="24"/>
              </w:rPr>
              <w:t>+3 to +9</w:t>
            </w:r>
          </w:p>
        </w:tc>
      </w:tr>
      <w:tr w:rsidR="003042EE" w14:paraId="2F03B218" w14:textId="77777777" w:rsidTr="004D06FC">
        <w:tc>
          <w:tcPr>
            <w:tcW w:w="2482" w:type="dxa"/>
          </w:tcPr>
          <w:p w14:paraId="49B47CFD"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 xml:space="preserve">Full Sample </w:t>
            </w:r>
          </w:p>
        </w:tc>
        <w:tc>
          <w:tcPr>
            <w:tcW w:w="2333" w:type="dxa"/>
          </w:tcPr>
          <w:p w14:paraId="2C2BDE70" w14:textId="37BBB277"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2A013113" w14:textId="4427F2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0.53</w:t>
            </w:r>
          </w:p>
        </w:tc>
        <w:tc>
          <w:tcPr>
            <w:tcW w:w="2202" w:type="dxa"/>
          </w:tcPr>
          <w:p w14:paraId="0AC47D33" w14:textId="165A06D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B6293E">
              <w:rPr>
                <w:rFonts w:ascii="Times New Roman" w:hAnsi="Times New Roman" w:cs="Times New Roman"/>
                <w:sz w:val="24"/>
                <w:szCs w:val="24"/>
              </w:rPr>
              <w:t>42</w:t>
            </w:r>
          </w:p>
        </w:tc>
      </w:tr>
      <w:tr w:rsidR="003042EE" w14:paraId="4DC25C8C" w14:textId="77777777" w:rsidTr="004D06FC">
        <w:tc>
          <w:tcPr>
            <w:tcW w:w="2482" w:type="dxa"/>
          </w:tcPr>
          <w:p w14:paraId="3BD40EC6"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lastRenderedPageBreak/>
              <w:t>College Educated</w:t>
            </w:r>
          </w:p>
        </w:tc>
        <w:tc>
          <w:tcPr>
            <w:tcW w:w="2333" w:type="dxa"/>
          </w:tcPr>
          <w:p w14:paraId="5147836B" w14:textId="4DAF2AF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333" w:type="dxa"/>
          </w:tcPr>
          <w:p w14:paraId="3F897045" w14:textId="03F24F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0.38</w:t>
            </w:r>
          </w:p>
        </w:tc>
        <w:tc>
          <w:tcPr>
            <w:tcW w:w="2202" w:type="dxa"/>
          </w:tcPr>
          <w:p w14:paraId="16A4DD16" w14:textId="0E95920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37</w:t>
            </w:r>
          </w:p>
        </w:tc>
      </w:tr>
      <w:tr w:rsidR="003042EE" w14:paraId="0C0F371A" w14:textId="77777777" w:rsidTr="004D06FC">
        <w:tc>
          <w:tcPr>
            <w:tcW w:w="2482" w:type="dxa"/>
          </w:tcPr>
          <w:p w14:paraId="3465529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Less Than College</w:t>
            </w:r>
          </w:p>
        </w:tc>
        <w:tc>
          <w:tcPr>
            <w:tcW w:w="2333" w:type="dxa"/>
          </w:tcPr>
          <w:p w14:paraId="2E1EE5CB" w14:textId="3499A4F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0.77</w:t>
            </w:r>
          </w:p>
        </w:tc>
        <w:tc>
          <w:tcPr>
            <w:tcW w:w="2333" w:type="dxa"/>
          </w:tcPr>
          <w:p w14:paraId="72625C48" w14:textId="1E89D65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0.49</w:t>
            </w:r>
          </w:p>
        </w:tc>
        <w:tc>
          <w:tcPr>
            <w:tcW w:w="2202" w:type="dxa"/>
          </w:tcPr>
          <w:p w14:paraId="427B378F" w14:textId="5CE2005B"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44</w:t>
            </w:r>
          </w:p>
        </w:tc>
      </w:tr>
      <w:tr w:rsidR="003042EE" w14:paraId="4D845C9C" w14:textId="77777777" w:rsidTr="004D06FC">
        <w:tc>
          <w:tcPr>
            <w:tcW w:w="2482" w:type="dxa"/>
          </w:tcPr>
          <w:p w14:paraId="3EC1A53B"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Blue Collar</w:t>
            </w:r>
          </w:p>
        </w:tc>
        <w:tc>
          <w:tcPr>
            <w:tcW w:w="2333" w:type="dxa"/>
          </w:tcPr>
          <w:p w14:paraId="25EC9889" w14:textId="3AC74715"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0.60</w:t>
            </w:r>
          </w:p>
        </w:tc>
        <w:tc>
          <w:tcPr>
            <w:tcW w:w="2333" w:type="dxa"/>
          </w:tcPr>
          <w:p w14:paraId="00A479EB" w14:textId="1393477A"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0.90</w:t>
            </w:r>
          </w:p>
        </w:tc>
        <w:tc>
          <w:tcPr>
            <w:tcW w:w="2202" w:type="dxa"/>
          </w:tcPr>
          <w:p w14:paraId="40E5DE0C" w14:textId="29DC12E6"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40</w:t>
            </w:r>
          </w:p>
        </w:tc>
      </w:tr>
      <w:tr w:rsidR="003042EE" w14:paraId="6C11E82F" w14:textId="77777777" w:rsidTr="004D06FC">
        <w:tc>
          <w:tcPr>
            <w:tcW w:w="2482" w:type="dxa"/>
          </w:tcPr>
          <w:p w14:paraId="69E1A157" w14:textId="77777777" w:rsidR="003042EE" w:rsidRDefault="003042EE" w:rsidP="004D06FC">
            <w:pPr>
              <w:contextualSpacing/>
              <w:rPr>
                <w:rFonts w:ascii="Times New Roman" w:hAnsi="Times New Roman" w:cs="Times New Roman"/>
                <w:sz w:val="24"/>
                <w:szCs w:val="24"/>
              </w:rPr>
            </w:pPr>
            <w:r>
              <w:rPr>
                <w:rFonts w:ascii="Times New Roman" w:hAnsi="Times New Roman" w:cs="Times New Roman"/>
                <w:sz w:val="24"/>
                <w:szCs w:val="24"/>
              </w:rPr>
              <w:t>White Collar</w:t>
            </w:r>
          </w:p>
        </w:tc>
        <w:tc>
          <w:tcPr>
            <w:tcW w:w="2333" w:type="dxa"/>
          </w:tcPr>
          <w:p w14:paraId="0FF76A30" w14:textId="5A8717C2"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0.47</w:t>
            </w:r>
          </w:p>
        </w:tc>
        <w:tc>
          <w:tcPr>
            <w:tcW w:w="2333" w:type="dxa"/>
          </w:tcPr>
          <w:p w14:paraId="21B17647" w14:textId="22CA85A0"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0.51</w:t>
            </w:r>
          </w:p>
        </w:tc>
        <w:tc>
          <w:tcPr>
            <w:tcW w:w="2202" w:type="dxa"/>
          </w:tcPr>
          <w:p w14:paraId="3013362B" w14:textId="46B6FFBE" w:rsidR="003042EE" w:rsidRDefault="003042EE" w:rsidP="004D06FC">
            <w:pPr>
              <w:contextualSpacing/>
              <w:jc w:val="center"/>
              <w:rPr>
                <w:rFonts w:ascii="Times New Roman" w:hAnsi="Times New Roman" w:cs="Times New Roman"/>
                <w:sz w:val="24"/>
                <w:szCs w:val="24"/>
              </w:rPr>
            </w:pPr>
            <w:r>
              <w:rPr>
                <w:rFonts w:ascii="Times New Roman" w:hAnsi="Times New Roman" w:cs="Times New Roman"/>
                <w:sz w:val="24"/>
                <w:szCs w:val="24"/>
              </w:rPr>
              <w:t>0.</w:t>
            </w:r>
            <w:r w:rsidR="00C53333">
              <w:rPr>
                <w:rFonts w:ascii="Times New Roman" w:hAnsi="Times New Roman" w:cs="Times New Roman"/>
                <w:sz w:val="24"/>
                <w:szCs w:val="24"/>
              </w:rPr>
              <w:t>65</w:t>
            </w:r>
          </w:p>
        </w:tc>
      </w:tr>
    </w:tbl>
    <w:p w14:paraId="5F06B24B" w14:textId="337CBAEB" w:rsidR="003042EE" w:rsidRDefault="003042EE">
      <w:pPr>
        <w:contextualSpacing/>
        <w:rPr>
          <w:rFonts w:ascii="Times New Roman" w:hAnsi="Times New Roman" w:cs="Times New Roman"/>
          <w:sz w:val="24"/>
          <w:szCs w:val="24"/>
        </w:rPr>
      </w:pPr>
    </w:p>
    <w:p w14:paraId="531B9C04" w14:textId="6D4C9E13" w:rsidR="004F4747" w:rsidRDefault="007C6007">
      <w:pPr>
        <w:contextualSpacing/>
        <w:rPr>
          <w:rFonts w:ascii="Times New Roman" w:hAnsi="Times New Roman" w:cs="Times New Roman"/>
          <w:sz w:val="24"/>
          <w:szCs w:val="24"/>
        </w:rPr>
      </w:pPr>
      <w:r>
        <w:rPr>
          <w:rFonts w:ascii="Times New Roman" w:hAnsi="Times New Roman" w:cs="Times New Roman"/>
          <w:b/>
          <w:sz w:val="24"/>
          <w:szCs w:val="24"/>
        </w:rPr>
        <w:t>Discussion</w:t>
      </w:r>
    </w:p>
    <w:p w14:paraId="5F915709" w14:textId="5439EF7F" w:rsidR="004F4747" w:rsidRDefault="004F4747">
      <w:pPr>
        <w:contextualSpacing/>
        <w:rPr>
          <w:rFonts w:ascii="Times New Roman" w:hAnsi="Times New Roman" w:cs="Times New Roman"/>
          <w:sz w:val="24"/>
          <w:szCs w:val="24"/>
        </w:rPr>
      </w:pPr>
    </w:p>
    <w:p w14:paraId="4DA5CC34" w14:textId="01B10F7E" w:rsidR="007C6007" w:rsidRDefault="007C6007">
      <w:pPr>
        <w:contextualSpacing/>
        <w:rPr>
          <w:rFonts w:ascii="Times New Roman" w:hAnsi="Times New Roman" w:cs="Times New Roman"/>
          <w:sz w:val="24"/>
          <w:szCs w:val="24"/>
        </w:rPr>
      </w:pPr>
      <w:r>
        <w:rPr>
          <w:rFonts w:ascii="Times New Roman" w:hAnsi="Times New Roman" w:cs="Times New Roman"/>
          <w:sz w:val="24"/>
          <w:szCs w:val="24"/>
        </w:rPr>
        <w:tab/>
        <w:t xml:space="preserve">Of all sub-populations identified in the analysis, the effect </w:t>
      </w:r>
      <w:r w:rsidR="00F071F9">
        <w:rPr>
          <w:rFonts w:ascii="Times New Roman" w:hAnsi="Times New Roman" w:cs="Times New Roman"/>
          <w:sz w:val="24"/>
          <w:szCs w:val="24"/>
        </w:rPr>
        <w:t>of a paid leave policy on labor-</w:t>
      </w:r>
      <w:r>
        <w:rPr>
          <w:rFonts w:ascii="Times New Roman" w:hAnsi="Times New Roman" w:cs="Times New Roman"/>
          <w:sz w:val="24"/>
          <w:szCs w:val="24"/>
        </w:rPr>
        <w:t xml:space="preserve">force participation was only significant for women without college degrees. This effect was jointly significant </w:t>
      </w:r>
      <w:r w:rsidR="000B0F6D">
        <w:rPr>
          <w:rFonts w:ascii="Times New Roman" w:hAnsi="Times New Roman" w:cs="Times New Roman"/>
          <w:sz w:val="24"/>
          <w:szCs w:val="24"/>
        </w:rPr>
        <w:t>for the seven-month period surrounding birth (</w:t>
      </w:r>
      <w:r w:rsidR="00F071F9" w:rsidRPr="00F071F9">
        <w:rPr>
          <w:rFonts w:ascii="Times New Roman" w:hAnsi="Times New Roman" w:cs="Times New Roman"/>
          <w:i/>
          <w:sz w:val="24"/>
          <w:szCs w:val="24"/>
        </w:rPr>
        <w:t>p</w:t>
      </w:r>
      <w:r w:rsidR="00F071F9">
        <w:rPr>
          <w:rFonts w:ascii="Times New Roman" w:hAnsi="Times New Roman" w:cs="Times New Roman"/>
          <w:sz w:val="24"/>
          <w:szCs w:val="24"/>
        </w:rPr>
        <w:t xml:space="preserve"> = 0.02</w:t>
      </w:r>
      <w:r w:rsidR="000B0F6D">
        <w:rPr>
          <w:rFonts w:ascii="Times New Roman" w:hAnsi="Times New Roman" w:cs="Times New Roman"/>
          <w:sz w:val="24"/>
          <w:szCs w:val="24"/>
        </w:rPr>
        <w:t>). The effect was additionally jointly significant for month of birth to six months following birth</w:t>
      </w:r>
      <w:r w:rsidR="00F071F9">
        <w:rPr>
          <w:rFonts w:ascii="Times New Roman" w:hAnsi="Times New Roman" w:cs="Times New Roman"/>
          <w:sz w:val="24"/>
          <w:szCs w:val="24"/>
        </w:rPr>
        <w:t xml:space="preserve"> </w:t>
      </w:r>
      <w:r w:rsidR="001433F8">
        <w:rPr>
          <w:rFonts w:ascii="Times New Roman" w:hAnsi="Times New Roman" w:cs="Times New Roman"/>
          <w:sz w:val="24"/>
          <w:szCs w:val="24"/>
        </w:rPr>
        <w:t>(</w:t>
      </w:r>
      <w:r w:rsidR="001433F8">
        <w:rPr>
          <w:rFonts w:ascii="Times New Roman" w:hAnsi="Times New Roman" w:cs="Times New Roman"/>
          <w:i/>
          <w:sz w:val="24"/>
          <w:szCs w:val="24"/>
        </w:rPr>
        <w:t>p</w:t>
      </w:r>
      <w:r w:rsidR="001433F8">
        <w:rPr>
          <w:rFonts w:ascii="Times New Roman" w:hAnsi="Times New Roman" w:cs="Times New Roman"/>
          <w:sz w:val="24"/>
          <w:szCs w:val="24"/>
        </w:rPr>
        <w:t xml:space="preserve"> = 0.045)</w:t>
      </w:r>
      <w:r w:rsidR="000B0F6D">
        <w:rPr>
          <w:rFonts w:ascii="Times New Roman" w:hAnsi="Times New Roman" w:cs="Times New Roman"/>
          <w:sz w:val="24"/>
          <w:szCs w:val="24"/>
        </w:rPr>
        <w:t>. However, there was no</w:t>
      </w:r>
      <w:r w:rsidR="00B6293E">
        <w:rPr>
          <w:rFonts w:ascii="Times New Roman" w:hAnsi="Times New Roman" w:cs="Times New Roman"/>
          <w:sz w:val="24"/>
          <w:szCs w:val="24"/>
        </w:rPr>
        <w:t xml:space="preserve"> joint significance for months 3 to 9</w:t>
      </w:r>
      <w:r w:rsidR="000B0F6D">
        <w:rPr>
          <w:rFonts w:ascii="Times New Roman" w:hAnsi="Times New Roman" w:cs="Times New Roman"/>
          <w:sz w:val="24"/>
          <w:szCs w:val="24"/>
        </w:rPr>
        <w:t xml:space="preserve">. </w:t>
      </w:r>
      <w:r w:rsidR="00B23D0C">
        <w:rPr>
          <w:rFonts w:ascii="Times New Roman" w:hAnsi="Times New Roman" w:cs="Times New Roman"/>
          <w:sz w:val="24"/>
          <w:szCs w:val="24"/>
        </w:rPr>
        <w:t>These results suggest that, at least for women without college degrees, paid family leave does indeed strengthen</w:t>
      </w:r>
      <w:r w:rsidR="00271880">
        <w:rPr>
          <w:rFonts w:ascii="Times New Roman" w:hAnsi="Times New Roman" w:cs="Times New Roman"/>
          <w:sz w:val="24"/>
          <w:szCs w:val="24"/>
        </w:rPr>
        <w:t xml:space="preserve"> labor-</w:t>
      </w:r>
      <w:r w:rsidR="00B23D0C">
        <w:rPr>
          <w:rFonts w:ascii="Times New Roman" w:hAnsi="Times New Roman" w:cs="Times New Roman"/>
          <w:sz w:val="24"/>
          <w:szCs w:val="24"/>
        </w:rPr>
        <w:t xml:space="preserve">force attachments for the months surrounding pregnancy. However, there is no evidence for long-term effects of the policy on labor force participation of mothers. </w:t>
      </w:r>
      <w:r w:rsidR="00271880">
        <w:rPr>
          <w:rFonts w:ascii="Times New Roman" w:hAnsi="Times New Roman" w:cs="Times New Roman"/>
          <w:sz w:val="24"/>
          <w:szCs w:val="24"/>
        </w:rPr>
        <w:t xml:space="preserve">This evidence supports the theory that the main impact of the CA-PFL and NJ-PFL is to increase the probability of women continuing with their employer through pregnancy instead of temporarily dropping out of the labor-force. The fact that the effect is no longer significant six months after pregnancy suggests that the proportion of women remaining in the labor-force normalizes to pre-policy levels after a short interval. </w:t>
      </w:r>
    </w:p>
    <w:p w14:paraId="3ACA1CC1" w14:textId="76BDF180" w:rsidR="007D17C6" w:rsidRDefault="007D17C6">
      <w:pPr>
        <w:contextualSpacing/>
        <w:rPr>
          <w:rFonts w:ascii="Times New Roman" w:hAnsi="Times New Roman" w:cs="Times New Roman"/>
          <w:sz w:val="24"/>
          <w:szCs w:val="24"/>
        </w:rPr>
      </w:pPr>
    </w:p>
    <w:p w14:paraId="6FE6B016" w14:textId="0CA97BB0" w:rsidR="007D17C6" w:rsidRDefault="007D17C6">
      <w:pPr>
        <w:contextualSpacing/>
        <w:rPr>
          <w:rFonts w:ascii="Times New Roman" w:hAnsi="Times New Roman" w:cs="Times New Roman"/>
          <w:sz w:val="24"/>
          <w:szCs w:val="24"/>
        </w:rPr>
      </w:pPr>
      <w:r>
        <w:rPr>
          <w:rFonts w:ascii="Times New Roman" w:hAnsi="Times New Roman" w:cs="Times New Roman"/>
          <w:sz w:val="24"/>
          <w:szCs w:val="24"/>
        </w:rPr>
        <w:tab/>
        <w:t>The analysis of employment effects of paid leave policies yields joint statistical significance only for women without a college degree in the period of three months before birth to three months after birth</w:t>
      </w:r>
      <w:r w:rsidR="00434602">
        <w:rPr>
          <w:rFonts w:ascii="Times New Roman" w:hAnsi="Times New Roman" w:cs="Times New Roman"/>
          <w:sz w:val="24"/>
          <w:szCs w:val="24"/>
        </w:rPr>
        <w:t xml:space="preserve"> (</w:t>
      </w:r>
      <w:r w:rsidR="00434602">
        <w:rPr>
          <w:rFonts w:ascii="Times New Roman" w:hAnsi="Times New Roman" w:cs="Times New Roman"/>
          <w:i/>
          <w:sz w:val="24"/>
          <w:szCs w:val="24"/>
        </w:rPr>
        <w:t>p</w:t>
      </w:r>
      <w:r w:rsidR="00434602">
        <w:rPr>
          <w:rFonts w:ascii="Times New Roman" w:hAnsi="Times New Roman" w:cs="Times New Roman"/>
          <w:sz w:val="24"/>
          <w:szCs w:val="24"/>
        </w:rPr>
        <w:t xml:space="preserve"> = 0.09)</w:t>
      </w:r>
      <w:r>
        <w:rPr>
          <w:rFonts w:ascii="Times New Roman" w:hAnsi="Times New Roman" w:cs="Times New Roman"/>
          <w:sz w:val="24"/>
          <w:szCs w:val="24"/>
        </w:rPr>
        <w:t xml:space="preserve">. </w:t>
      </w:r>
      <w:r w:rsidR="00F071F9">
        <w:rPr>
          <w:rFonts w:ascii="Times New Roman" w:hAnsi="Times New Roman" w:cs="Times New Roman"/>
          <w:sz w:val="24"/>
          <w:szCs w:val="24"/>
        </w:rPr>
        <w:t xml:space="preserve">This result corroborates the findings in the analysis of labor-force participation. Because the SIPP classifies women on paid family leave as working, this finding is likely a result of the same mechanism proposed in the labor-force analysis. That is, women are more likely to stay with their employer in the months of late pregnancy and early months post-birth if they have access to paid family leave. </w:t>
      </w:r>
    </w:p>
    <w:p w14:paraId="5CFABC31" w14:textId="1A1298EB" w:rsidR="00434602" w:rsidRDefault="00434602">
      <w:pPr>
        <w:contextualSpacing/>
        <w:rPr>
          <w:rFonts w:ascii="Times New Roman" w:hAnsi="Times New Roman" w:cs="Times New Roman"/>
          <w:sz w:val="24"/>
          <w:szCs w:val="24"/>
        </w:rPr>
      </w:pPr>
    </w:p>
    <w:p w14:paraId="56811F2D" w14:textId="51CAD6FA" w:rsidR="00434602" w:rsidRDefault="00434602">
      <w:pPr>
        <w:contextualSpacing/>
        <w:rPr>
          <w:rFonts w:ascii="Times New Roman" w:hAnsi="Times New Roman" w:cs="Times New Roman"/>
          <w:sz w:val="24"/>
          <w:szCs w:val="24"/>
        </w:rPr>
      </w:pPr>
      <w:r>
        <w:rPr>
          <w:rFonts w:ascii="Times New Roman" w:hAnsi="Times New Roman" w:cs="Times New Roman"/>
          <w:sz w:val="24"/>
          <w:szCs w:val="24"/>
        </w:rPr>
        <w:tab/>
        <w:t xml:space="preserve">Analysis of the impact of the CA-PFL and NJ-PFL on the probability of looking for work yield no statistically significance effect for any sub-population group at any time period. There are multiple possible explanations for this result. </w:t>
      </w:r>
      <w:r w:rsidR="0063466F">
        <w:rPr>
          <w:rFonts w:ascii="Times New Roman" w:hAnsi="Times New Roman" w:cs="Times New Roman"/>
          <w:sz w:val="24"/>
          <w:szCs w:val="24"/>
        </w:rPr>
        <w:t>There could indeed be no effect of paid family leave policies on the probability of looking for work in any of the time periods anal</w:t>
      </w:r>
      <w:r w:rsidR="003A731B">
        <w:rPr>
          <w:rFonts w:ascii="Times New Roman" w:hAnsi="Times New Roman" w:cs="Times New Roman"/>
          <w:sz w:val="24"/>
          <w:szCs w:val="24"/>
        </w:rPr>
        <w:t xml:space="preserve">yzed, even with a positive effect on labor-force participation. Although the proposed mechanism of increasing ties to current employers would predict a negative effect of paid family leave on probability of searching for employment, a general increase in demand for </w:t>
      </w:r>
      <w:r w:rsidR="00A34F8B">
        <w:rPr>
          <w:rFonts w:ascii="Times New Roman" w:hAnsi="Times New Roman" w:cs="Times New Roman"/>
          <w:sz w:val="24"/>
          <w:szCs w:val="24"/>
        </w:rPr>
        <w:t xml:space="preserve">employment by women as a result of the paid leave policy would yield a counteracting positive effect on the probability of searching for employment. However, I believe a more likely explanation is that the analysis simply lacks the statistical power to identify a causal effect. Out of 103,624 total person-month observations recorded in the sample, only </w:t>
      </w:r>
      <w:r>
        <w:rPr>
          <w:rFonts w:ascii="Times New Roman" w:hAnsi="Times New Roman" w:cs="Times New Roman"/>
          <w:sz w:val="24"/>
          <w:szCs w:val="24"/>
        </w:rPr>
        <w:t>4,286</w:t>
      </w:r>
      <w:r w:rsidR="00A34F8B">
        <w:rPr>
          <w:rFonts w:ascii="Times New Roman" w:hAnsi="Times New Roman" w:cs="Times New Roman"/>
          <w:sz w:val="24"/>
          <w:szCs w:val="24"/>
        </w:rPr>
        <w:t xml:space="preserve"> are encoded as looking for work. Under such circumstances, a small effect is unlikely to be identified under the specification used. </w:t>
      </w:r>
    </w:p>
    <w:p w14:paraId="6DA61540" w14:textId="178A2FB0" w:rsidR="00DC4B63" w:rsidRDefault="00DC4B63">
      <w:pPr>
        <w:contextualSpacing/>
        <w:rPr>
          <w:rFonts w:ascii="Times New Roman" w:hAnsi="Times New Roman" w:cs="Times New Roman"/>
          <w:sz w:val="24"/>
          <w:szCs w:val="24"/>
        </w:rPr>
      </w:pPr>
    </w:p>
    <w:p w14:paraId="2B543B18" w14:textId="1157A7A9" w:rsidR="00DC4B63" w:rsidRDefault="00DC4B63">
      <w:pPr>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A further difficulty in interpreting the effect of paid family leave on employment outcomes is due to the nature of the specification. While a binary encoding is intuitive for labor-force participation, using a binary encoding of ‘working’ and ‘looking for work’ does not allow for a nuanced interpretation of effects. A change in the probability of working or looking for work reflects both changes in labor-force participation and changes in employment. Under the specification used for example, it is unclear whether </w:t>
      </w:r>
      <w:r w:rsidR="00C92D9D">
        <w:rPr>
          <w:rFonts w:ascii="Times New Roman" w:hAnsi="Times New Roman" w:cs="Times New Roman"/>
          <w:sz w:val="24"/>
          <w:szCs w:val="24"/>
        </w:rPr>
        <w:t xml:space="preserve">the increase in probability of working for women without a college degree is due to women remaining employed when they would have otherwise dropped out of the labor-force, or women remaining employed </w:t>
      </w:r>
      <w:r w:rsidR="00D32D9F">
        <w:rPr>
          <w:rFonts w:ascii="Times New Roman" w:hAnsi="Times New Roman" w:cs="Times New Roman"/>
          <w:sz w:val="24"/>
          <w:szCs w:val="24"/>
        </w:rPr>
        <w:t xml:space="preserve">when they would have otherwise become unemployed. If I were to redo this study from the beginning, I would use a multinomial logistic regression model to identify the relative changes of probability of each labor-market </w:t>
      </w:r>
      <w:bookmarkStart w:id="1" w:name="_GoBack"/>
      <w:bookmarkEnd w:id="1"/>
      <w:r w:rsidR="00D32D9F">
        <w:rPr>
          <w:rFonts w:ascii="Times New Roman" w:hAnsi="Times New Roman" w:cs="Times New Roman"/>
          <w:sz w:val="24"/>
          <w:szCs w:val="24"/>
        </w:rPr>
        <w:t xml:space="preserve">outcome compared to each other possible outcome. </w:t>
      </w:r>
    </w:p>
    <w:p w14:paraId="4D17D7D5" w14:textId="77777777" w:rsidR="004F4747" w:rsidRPr="004F4747" w:rsidRDefault="004F4747">
      <w:pPr>
        <w:contextualSpacing/>
        <w:rPr>
          <w:rFonts w:ascii="Times New Roman" w:hAnsi="Times New Roman" w:cs="Times New Roman"/>
          <w:sz w:val="24"/>
          <w:szCs w:val="24"/>
        </w:rPr>
      </w:pPr>
    </w:p>
    <w:p w14:paraId="44E7D6B8" w14:textId="77777777" w:rsidR="00474B03" w:rsidRDefault="00474B03">
      <w:pPr>
        <w:contextualSpacing/>
        <w:rPr>
          <w:rFonts w:ascii="Times New Roman" w:hAnsi="Times New Roman" w:cs="Times New Roman"/>
          <w:sz w:val="24"/>
          <w:szCs w:val="24"/>
        </w:rPr>
      </w:pPr>
      <w:r>
        <w:rPr>
          <w:rFonts w:ascii="Times New Roman" w:hAnsi="Times New Roman" w:cs="Times New Roman"/>
          <w:b/>
          <w:sz w:val="24"/>
          <w:szCs w:val="24"/>
        </w:rPr>
        <w:t>Limitations</w:t>
      </w:r>
    </w:p>
    <w:p w14:paraId="0D252F42" w14:textId="77777777" w:rsidR="00474B03" w:rsidRDefault="00474B03">
      <w:pPr>
        <w:contextualSpacing/>
        <w:rPr>
          <w:rFonts w:ascii="Times New Roman" w:hAnsi="Times New Roman" w:cs="Times New Roman"/>
          <w:sz w:val="24"/>
          <w:szCs w:val="24"/>
        </w:rPr>
      </w:pPr>
    </w:p>
    <w:p w14:paraId="101752B3" w14:textId="65C4B96E" w:rsidR="00FE0F02" w:rsidRDefault="002A43CB" w:rsidP="004C6AF9">
      <w:pPr>
        <w:ind w:firstLine="720"/>
        <w:contextualSpacing/>
        <w:rPr>
          <w:rFonts w:ascii="Times New Roman" w:hAnsi="Times New Roman" w:cs="Times New Roman"/>
          <w:sz w:val="24"/>
          <w:szCs w:val="24"/>
        </w:rPr>
      </w:pPr>
      <w:r>
        <w:rPr>
          <w:rFonts w:ascii="Times New Roman" w:hAnsi="Times New Roman" w:cs="Times New Roman"/>
          <w:sz w:val="24"/>
          <w:szCs w:val="24"/>
        </w:rPr>
        <w:t xml:space="preserve">Empirical analysis of employer mandates is often difficult to examine with rigor due to the limitations of available data. Segmenting individual level data like the Survey of Income and Program Participation by geographical location and time period leads to small sample sizes and low statistical power. Aggregate data, on the other hand, lacks the granularity necessary to estimate the effect of the mandate on the subpopulations that are likely to be affect most by the mandate. </w:t>
      </w:r>
    </w:p>
    <w:p w14:paraId="3B049379" w14:textId="6FA54D95" w:rsidR="00FE0F02" w:rsidRDefault="005F52F4" w:rsidP="00FE0F02">
      <w:pPr>
        <w:rPr>
          <w:rFonts w:ascii="Times New Roman" w:hAnsi="Times New Roman" w:cs="Times New Roman"/>
          <w:sz w:val="24"/>
          <w:szCs w:val="24"/>
        </w:rPr>
      </w:pPr>
      <w:r>
        <w:rPr>
          <w:rFonts w:ascii="Times New Roman" w:hAnsi="Times New Roman" w:cs="Times New Roman"/>
          <w:sz w:val="24"/>
          <w:szCs w:val="24"/>
        </w:rPr>
        <w:br w:type="page"/>
      </w:r>
    </w:p>
    <w:p w14:paraId="0335749A" w14:textId="3DB2D6E1" w:rsidR="00FE0F02" w:rsidRDefault="00FE0F02" w:rsidP="00FE0F02">
      <w:pPr>
        <w:contextualSpacing/>
        <w:rPr>
          <w:rFonts w:ascii="Times New Roman" w:hAnsi="Times New Roman" w:cs="Times New Roman"/>
          <w:sz w:val="24"/>
          <w:szCs w:val="24"/>
        </w:rPr>
      </w:pPr>
      <w:r>
        <w:rPr>
          <w:rFonts w:ascii="Times New Roman" w:hAnsi="Times New Roman" w:cs="Times New Roman"/>
          <w:b/>
          <w:sz w:val="24"/>
          <w:szCs w:val="24"/>
        </w:rPr>
        <w:lastRenderedPageBreak/>
        <w:t>References</w:t>
      </w:r>
    </w:p>
    <w:p w14:paraId="0E223633" w14:textId="231A2C74" w:rsidR="00D06165" w:rsidRDefault="00D06165" w:rsidP="00D06165">
      <w:pPr>
        <w:contextualSpacing/>
        <w:rPr>
          <w:rFonts w:ascii="Times New Roman" w:hAnsi="Times New Roman" w:cs="Times New Roman"/>
          <w:sz w:val="24"/>
          <w:szCs w:val="24"/>
        </w:rPr>
      </w:pPr>
    </w:p>
    <w:p w14:paraId="31F724B1"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Baum, C., Rossin-Slater, M., Ruhm, C., &amp; Waldfogel, J. (2014). California’s Paid Family Leave Law: Lessons from the First Decade. Federal Publications. Retrieved from https://digitalcommons.ilr.cornell.edu/key_workplace/1594</w:t>
      </w:r>
    </w:p>
    <w:p w14:paraId="71476108"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Bartel, A. P., Rossin‐Slater, M., Ruhm, C. J., Stearns, J., &amp; Waldfogel, J. (2018). Paid Family Leave, Fathers’ Leave-Taking, and Leave-Sharing in Dual-Earner Households. Journal of Policy Analysis and Management, 37(1), 10–37. https://doi.org/10.1002/pam.22030</w:t>
      </w:r>
    </w:p>
    <w:p w14:paraId="5A625BBA"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Baum, C. L., &amp; Ruhm, C. J. (2014). The Effects of Paid Family Leave in California on Labor Market Outcomes. Journal of Policy Analysis and Management, 35(2), 333–356. https://doi.org/10.1002/pam.21894</w:t>
      </w:r>
    </w:p>
    <w:p w14:paraId="0A65D719" w14:textId="3D0909A7"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 xml:space="preserve">Byker, T. S. (2016). Paid Parental Leave Laws in the United States: Does Short-Duration Leave Affect Women’s Labor-Force Attachment? American Economic Review, 106(5), 242–246. </w:t>
      </w:r>
      <w:r w:rsidR="00BF2885" w:rsidRPr="00BF2885">
        <w:rPr>
          <w:rFonts w:ascii="Times New Roman" w:hAnsi="Times New Roman" w:cs="Times New Roman"/>
          <w:sz w:val="24"/>
          <w:szCs w:val="24"/>
        </w:rPr>
        <w:t>https://doi.org/10.1257/aer.p20161118</w:t>
      </w:r>
    </w:p>
    <w:p w14:paraId="30021152" w14:textId="0EEFB03F" w:rsidR="00BF2885" w:rsidRPr="00D06165" w:rsidRDefault="00BF2885" w:rsidP="00D06165">
      <w:pPr>
        <w:ind w:left="720" w:hanging="720"/>
        <w:rPr>
          <w:rFonts w:ascii="Times New Roman" w:hAnsi="Times New Roman" w:cs="Times New Roman"/>
          <w:sz w:val="24"/>
          <w:szCs w:val="24"/>
        </w:rPr>
      </w:pPr>
      <w:r w:rsidRPr="00BF2885">
        <w:rPr>
          <w:rFonts w:ascii="Times New Roman" w:hAnsi="Times New Roman" w:cs="Times New Roman"/>
          <w:sz w:val="24"/>
          <w:szCs w:val="24"/>
        </w:rPr>
        <w:t>Byker, T.</w:t>
      </w:r>
      <w:r>
        <w:rPr>
          <w:rFonts w:ascii="Times New Roman" w:hAnsi="Times New Roman" w:cs="Times New Roman"/>
          <w:sz w:val="24"/>
          <w:szCs w:val="24"/>
        </w:rPr>
        <w:t>S.</w:t>
      </w:r>
      <w:r w:rsidRPr="00BF2885">
        <w:rPr>
          <w:rFonts w:ascii="Times New Roman" w:hAnsi="Times New Roman" w:cs="Times New Roman"/>
          <w:sz w:val="24"/>
          <w:szCs w:val="24"/>
        </w:rPr>
        <w:t xml:space="preserve"> (2016). The Opt-Out Continuation: Education, Work, and Motherhood from 1984 to 2012. RSF: The Russell Sage Foundation Journal of the Social Sciences, 2(4), 34–70. https://doi.org/10.7758/RSF.2016.2.4.02</w:t>
      </w:r>
    </w:p>
    <w:p w14:paraId="7FF99C77"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Curtis, E. M., Hirsch, B. T., &amp; Schroeder, M. C. (2016). Evaluating Workplace Mandates with Flows Versus Stocks: An Application to California Paid Family Leave. Southern Economic Journal, 83(2), 501–526. https://doi.org/10.1002/soej.12150</w:t>
      </w:r>
    </w:p>
    <w:p w14:paraId="25F47EE3" w14:textId="77777777" w:rsidR="00D06165" w:rsidRP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Das, T., &amp; Polachek, S. W. (2015). Unanticipated Effects of California’s Paid Family Leave Program. Contemporary Economic Policy, 33(4), 619–635. https://doi.org/10.1111/coep.12102</w:t>
      </w:r>
    </w:p>
    <w:p w14:paraId="00A48F0C" w14:textId="493BAE0E" w:rsidR="00D0616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Klerman, J. A., Daley, K., &amp; Pozniak, A. (2012). Family and Medical Leave in 2012: Technical Report (contract #GS10FOO86K). Cambridge, MA: Abt Associates. Retrieved from U.S. Department of Labor website: http://www.dol.gov/asp/evaluation/fmla/FMLATechnicalReport.pdf</w:t>
      </w:r>
    </w:p>
    <w:p w14:paraId="443C2DE0" w14:textId="129531CF" w:rsidR="00EB1C75" w:rsidRPr="00EB1C75" w:rsidRDefault="00D06165" w:rsidP="00D06165">
      <w:pPr>
        <w:ind w:left="720" w:hanging="720"/>
        <w:rPr>
          <w:rFonts w:ascii="Times New Roman" w:hAnsi="Times New Roman" w:cs="Times New Roman"/>
          <w:sz w:val="24"/>
          <w:szCs w:val="24"/>
        </w:rPr>
      </w:pPr>
      <w:r w:rsidRPr="00D06165">
        <w:rPr>
          <w:rFonts w:ascii="Times New Roman" w:hAnsi="Times New Roman" w:cs="Times New Roman"/>
          <w:sz w:val="24"/>
          <w:szCs w:val="24"/>
        </w:rPr>
        <w:t>Rossin‐Slater, M., Ruhm, C. J., &amp; Waldfogel, J. (2013). The Effects of California’s Paid Family Leave Program on Mothers’ Leave-Taking and Subsequent Labor Market Outcomes. Journal of Policy Analysis and Management, 32(2), 224–245. https://doi.org/10.1002/pam.21676</w:t>
      </w:r>
    </w:p>
    <w:sectPr w:rsidR="00EB1C75" w:rsidRPr="00EB1C7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9-06-14T12:46:00Z" w:initials="WU">
    <w:p w14:paraId="3406810D" w14:textId="77777777" w:rsidR="0063466F" w:rsidRPr="006D00F9" w:rsidRDefault="0063466F" w:rsidP="006D00F9">
      <w:pPr>
        <w:pStyle w:val="CommentText"/>
      </w:pPr>
      <w:r>
        <w:rPr>
          <w:rStyle w:val="CommentReference"/>
        </w:rPr>
        <w:annotationRef/>
      </w:r>
      <w:r w:rsidRPr="006D00F9">
        <w:t>Maybe I could find / make a graph of cost vs utility of time away from work?</w:t>
      </w:r>
      <w:r>
        <w:t xml:space="preserve"> Basically showing that some workers who otherwise would have had a corner solution (no work) would adjust to a reduction in cost by increasing work hours. Or maybe instead of work hours on the x-axis, I could put weeks away from work (0 to 6 maybe with weeks after 6 signifying termination of employment).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406810D"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69569" w14:textId="77777777" w:rsidR="00943771" w:rsidRDefault="00943771" w:rsidP="00D90AB6">
      <w:pPr>
        <w:spacing w:after="0" w:line="240" w:lineRule="auto"/>
      </w:pPr>
      <w:r>
        <w:separator/>
      </w:r>
    </w:p>
  </w:endnote>
  <w:endnote w:type="continuationSeparator" w:id="0">
    <w:p w14:paraId="12DF5B1C" w14:textId="77777777" w:rsidR="00943771" w:rsidRDefault="00943771" w:rsidP="00D90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FEC80" w14:textId="77777777" w:rsidR="00943771" w:rsidRDefault="00943771" w:rsidP="00D90AB6">
      <w:pPr>
        <w:spacing w:after="0" w:line="240" w:lineRule="auto"/>
      </w:pPr>
      <w:r>
        <w:separator/>
      </w:r>
    </w:p>
  </w:footnote>
  <w:footnote w:type="continuationSeparator" w:id="0">
    <w:p w14:paraId="48AC462B" w14:textId="77777777" w:rsidR="00943771" w:rsidRDefault="00943771" w:rsidP="00D90AB6">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B1D"/>
    <w:rsid w:val="000047C6"/>
    <w:rsid w:val="0002022E"/>
    <w:rsid w:val="00025DBF"/>
    <w:rsid w:val="00045127"/>
    <w:rsid w:val="000620B1"/>
    <w:rsid w:val="000662F3"/>
    <w:rsid w:val="00077374"/>
    <w:rsid w:val="000845A7"/>
    <w:rsid w:val="000B0F6D"/>
    <w:rsid w:val="000C573A"/>
    <w:rsid w:val="000F2380"/>
    <w:rsid w:val="00112CCD"/>
    <w:rsid w:val="001159CB"/>
    <w:rsid w:val="00116B4F"/>
    <w:rsid w:val="00121BEE"/>
    <w:rsid w:val="00125688"/>
    <w:rsid w:val="001329E5"/>
    <w:rsid w:val="001433F8"/>
    <w:rsid w:val="00152A7B"/>
    <w:rsid w:val="00154EB0"/>
    <w:rsid w:val="00161FD9"/>
    <w:rsid w:val="00192FCA"/>
    <w:rsid w:val="001A3527"/>
    <w:rsid w:val="001C1680"/>
    <w:rsid w:val="001D2292"/>
    <w:rsid w:val="001E4926"/>
    <w:rsid w:val="001F1B1D"/>
    <w:rsid w:val="00201C53"/>
    <w:rsid w:val="002169FA"/>
    <w:rsid w:val="0022180C"/>
    <w:rsid w:val="00257213"/>
    <w:rsid w:val="00271880"/>
    <w:rsid w:val="00285189"/>
    <w:rsid w:val="00291B60"/>
    <w:rsid w:val="002A43CB"/>
    <w:rsid w:val="002B7B4D"/>
    <w:rsid w:val="002C4C57"/>
    <w:rsid w:val="002D380B"/>
    <w:rsid w:val="00302287"/>
    <w:rsid w:val="003042EE"/>
    <w:rsid w:val="00306539"/>
    <w:rsid w:val="00341D00"/>
    <w:rsid w:val="00344D43"/>
    <w:rsid w:val="0036055E"/>
    <w:rsid w:val="003A731B"/>
    <w:rsid w:val="003B2672"/>
    <w:rsid w:val="003C40BC"/>
    <w:rsid w:val="003C41AF"/>
    <w:rsid w:val="003E50FA"/>
    <w:rsid w:val="003E721B"/>
    <w:rsid w:val="0040538B"/>
    <w:rsid w:val="00416675"/>
    <w:rsid w:val="00433F5A"/>
    <w:rsid w:val="00434602"/>
    <w:rsid w:val="00472F66"/>
    <w:rsid w:val="00474B03"/>
    <w:rsid w:val="004B6037"/>
    <w:rsid w:val="004C2881"/>
    <w:rsid w:val="004C4D23"/>
    <w:rsid w:val="004C6AF9"/>
    <w:rsid w:val="004D06FC"/>
    <w:rsid w:val="004E615D"/>
    <w:rsid w:val="004F2641"/>
    <w:rsid w:val="004F4747"/>
    <w:rsid w:val="004F6585"/>
    <w:rsid w:val="00524DEB"/>
    <w:rsid w:val="00534256"/>
    <w:rsid w:val="00537362"/>
    <w:rsid w:val="00546322"/>
    <w:rsid w:val="00566045"/>
    <w:rsid w:val="005669E9"/>
    <w:rsid w:val="0058002E"/>
    <w:rsid w:val="00595038"/>
    <w:rsid w:val="005B6863"/>
    <w:rsid w:val="005C02DD"/>
    <w:rsid w:val="005F0BE4"/>
    <w:rsid w:val="005F52F4"/>
    <w:rsid w:val="0062561D"/>
    <w:rsid w:val="006263F2"/>
    <w:rsid w:val="0063466F"/>
    <w:rsid w:val="006458B7"/>
    <w:rsid w:val="00663461"/>
    <w:rsid w:val="00680B5F"/>
    <w:rsid w:val="006820EA"/>
    <w:rsid w:val="006B4DB1"/>
    <w:rsid w:val="006D00F9"/>
    <w:rsid w:val="006D21E5"/>
    <w:rsid w:val="006D7AE0"/>
    <w:rsid w:val="006E29F9"/>
    <w:rsid w:val="006F1608"/>
    <w:rsid w:val="00700B09"/>
    <w:rsid w:val="00702CAF"/>
    <w:rsid w:val="00706A52"/>
    <w:rsid w:val="00726B49"/>
    <w:rsid w:val="00727BAC"/>
    <w:rsid w:val="00736C06"/>
    <w:rsid w:val="00741380"/>
    <w:rsid w:val="00741AEC"/>
    <w:rsid w:val="00744A5E"/>
    <w:rsid w:val="007502F2"/>
    <w:rsid w:val="00751BD5"/>
    <w:rsid w:val="007775E3"/>
    <w:rsid w:val="00781D4E"/>
    <w:rsid w:val="007C6007"/>
    <w:rsid w:val="007D17C6"/>
    <w:rsid w:val="007E2EC6"/>
    <w:rsid w:val="007F7A34"/>
    <w:rsid w:val="008110E2"/>
    <w:rsid w:val="00861DD6"/>
    <w:rsid w:val="008620A5"/>
    <w:rsid w:val="00865245"/>
    <w:rsid w:val="0087319A"/>
    <w:rsid w:val="008815B6"/>
    <w:rsid w:val="008C1BBD"/>
    <w:rsid w:val="008C5EFD"/>
    <w:rsid w:val="008F0660"/>
    <w:rsid w:val="00915A37"/>
    <w:rsid w:val="009170DB"/>
    <w:rsid w:val="00923AAE"/>
    <w:rsid w:val="00932CFB"/>
    <w:rsid w:val="00943771"/>
    <w:rsid w:val="009927C8"/>
    <w:rsid w:val="009B36AD"/>
    <w:rsid w:val="009C097A"/>
    <w:rsid w:val="009D5135"/>
    <w:rsid w:val="009D6F4D"/>
    <w:rsid w:val="009F0108"/>
    <w:rsid w:val="009F39EF"/>
    <w:rsid w:val="009F7B3E"/>
    <w:rsid w:val="00A01301"/>
    <w:rsid w:val="00A11C54"/>
    <w:rsid w:val="00A33DD6"/>
    <w:rsid w:val="00A34F8B"/>
    <w:rsid w:val="00A40CC4"/>
    <w:rsid w:val="00A5244E"/>
    <w:rsid w:val="00A64C70"/>
    <w:rsid w:val="00A6763E"/>
    <w:rsid w:val="00A87A7C"/>
    <w:rsid w:val="00AC3E2F"/>
    <w:rsid w:val="00AD0E9B"/>
    <w:rsid w:val="00AE475A"/>
    <w:rsid w:val="00AF6473"/>
    <w:rsid w:val="00B21CB0"/>
    <w:rsid w:val="00B23D0C"/>
    <w:rsid w:val="00B340E6"/>
    <w:rsid w:val="00B369DF"/>
    <w:rsid w:val="00B6293E"/>
    <w:rsid w:val="00B67AAF"/>
    <w:rsid w:val="00B72DA6"/>
    <w:rsid w:val="00B953F2"/>
    <w:rsid w:val="00B95D5E"/>
    <w:rsid w:val="00BB661D"/>
    <w:rsid w:val="00BC2FE3"/>
    <w:rsid w:val="00BE21C5"/>
    <w:rsid w:val="00BF10F8"/>
    <w:rsid w:val="00BF2885"/>
    <w:rsid w:val="00C50D65"/>
    <w:rsid w:val="00C52EF0"/>
    <w:rsid w:val="00C53333"/>
    <w:rsid w:val="00C92D9D"/>
    <w:rsid w:val="00C967EC"/>
    <w:rsid w:val="00C970AF"/>
    <w:rsid w:val="00CD56EC"/>
    <w:rsid w:val="00CF4F77"/>
    <w:rsid w:val="00CF572E"/>
    <w:rsid w:val="00D06165"/>
    <w:rsid w:val="00D109C9"/>
    <w:rsid w:val="00D155E9"/>
    <w:rsid w:val="00D255E4"/>
    <w:rsid w:val="00D32D9F"/>
    <w:rsid w:val="00D358AC"/>
    <w:rsid w:val="00D56DC5"/>
    <w:rsid w:val="00D75716"/>
    <w:rsid w:val="00D7684F"/>
    <w:rsid w:val="00D90AB6"/>
    <w:rsid w:val="00DA4EE0"/>
    <w:rsid w:val="00DC4B63"/>
    <w:rsid w:val="00DC5455"/>
    <w:rsid w:val="00DD66A8"/>
    <w:rsid w:val="00DF16C9"/>
    <w:rsid w:val="00DF779E"/>
    <w:rsid w:val="00E22FB6"/>
    <w:rsid w:val="00E263E4"/>
    <w:rsid w:val="00E554F7"/>
    <w:rsid w:val="00E87563"/>
    <w:rsid w:val="00EA5C64"/>
    <w:rsid w:val="00EB1C75"/>
    <w:rsid w:val="00EC494C"/>
    <w:rsid w:val="00EE5DCA"/>
    <w:rsid w:val="00EF60FB"/>
    <w:rsid w:val="00F071F9"/>
    <w:rsid w:val="00F12B90"/>
    <w:rsid w:val="00F15B17"/>
    <w:rsid w:val="00F22B57"/>
    <w:rsid w:val="00F75E33"/>
    <w:rsid w:val="00FA00C1"/>
    <w:rsid w:val="00FC0AE6"/>
    <w:rsid w:val="00FC18D9"/>
    <w:rsid w:val="00FD7932"/>
    <w:rsid w:val="00FE0F02"/>
    <w:rsid w:val="00FF3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77"/>
  <w15:chartTrackingRefBased/>
  <w15:docId w15:val="{B4DB6151-7B0D-4804-9D62-FCA9F603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0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0AB6"/>
    <w:rPr>
      <w:color w:val="0000FF"/>
      <w:u w:val="single"/>
    </w:rPr>
  </w:style>
  <w:style w:type="character" w:customStyle="1" w:styleId="Heading1Char">
    <w:name w:val="Heading 1 Char"/>
    <w:basedOn w:val="DefaultParagraphFont"/>
    <w:link w:val="Heading1"/>
    <w:uiPriority w:val="9"/>
    <w:rsid w:val="00D90AB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90A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0AB6"/>
  </w:style>
  <w:style w:type="paragraph" w:styleId="Footer">
    <w:name w:val="footer"/>
    <w:basedOn w:val="Normal"/>
    <w:link w:val="FooterChar"/>
    <w:uiPriority w:val="99"/>
    <w:unhideWhenUsed/>
    <w:rsid w:val="00D90A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0AB6"/>
  </w:style>
  <w:style w:type="table" w:styleId="TableGrid">
    <w:name w:val="Table Grid"/>
    <w:basedOn w:val="TableNormal"/>
    <w:uiPriority w:val="39"/>
    <w:rsid w:val="00CD56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46322"/>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726B49"/>
    <w:rPr>
      <w:sz w:val="16"/>
      <w:szCs w:val="16"/>
    </w:rPr>
  </w:style>
  <w:style w:type="paragraph" w:styleId="CommentText">
    <w:name w:val="annotation text"/>
    <w:basedOn w:val="Normal"/>
    <w:link w:val="CommentTextChar"/>
    <w:uiPriority w:val="99"/>
    <w:semiHidden/>
    <w:unhideWhenUsed/>
    <w:rsid w:val="00726B49"/>
    <w:pPr>
      <w:spacing w:line="240" w:lineRule="auto"/>
    </w:pPr>
    <w:rPr>
      <w:sz w:val="20"/>
      <w:szCs w:val="20"/>
    </w:rPr>
  </w:style>
  <w:style w:type="character" w:customStyle="1" w:styleId="CommentTextChar">
    <w:name w:val="Comment Text Char"/>
    <w:basedOn w:val="DefaultParagraphFont"/>
    <w:link w:val="CommentText"/>
    <w:uiPriority w:val="99"/>
    <w:semiHidden/>
    <w:rsid w:val="00726B49"/>
    <w:rPr>
      <w:sz w:val="20"/>
      <w:szCs w:val="20"/>
    </w:rPr>
  </w:style>
  <w:style w:type="paragraph" w:styleId="CommentSubject">
    <w:name w:val="annotation subject"/>
    <w:basedOn w:val="CommentText"/>
    <w:next w:val="CommentText"/>
    <w:link w:val="CommentSubjectChar"/>
    <w:uiPriority w:val="99"/>
    <w:semiHidden/>
    <w:unhideWhenUsed/>
    <w:rsid w:val="00726B49"/>
    <w:rPr>
      <w:b/>
      <w:bCs/>
    </w:rPr>
  </w:style>
  <w:style w:type="character" w:customStyle="1" w:styleId="CommentSubjectChar">
    <w:name w:val="Comment Subject Char"/>
    <w:basedOn w:val="CommentTextChar"/>
    <w:link w:val="CommentSubject"/>
    <w:uiPriority w:val="99"/>
    <w:semiHidden/>
    <w:rsid w:val="00726B49"/>
    <w:rPr>
      <w:b/>
      <w:bCs/>
      <w:sz w:val="20"/>
      <w:szCs w:val="20"/>
    </w:rPr>
  </w:style>
  <w:style w:type="paragraph" w:styleId="BalloonText">
    <w:name w:val="Balloon Text"/>
    <w:basedOn w:val="Normal"/>
    <w:link w:val="BalloonTextChar"/>
    <w:uiPriority w:val="99"/>
    <w:semiHidden/>
    <w:unhideWhenUsed/>
    <w:rsid w:val="00726B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B49"/>
    <w:rPr>
      <w:rFonts w:ascii="Segoe UI" w:hAnsi="Segoe UI" w:cs="Segoe UI"/>
      <w:sz w:val="18"/>
      <w:szCs w:val="18"/>
    </w:rPr>
  </w:style>
  <w:style w:type="character" w:styleId="PlaceholderText">
    <w:name w:val="Placeholder Text"/>
    <w:basedOn w:val="DefaultParagraphFont"/>
    <w:uiPriority w:val="99"/>
    <w:semiHidden/>
    <w:rsid w:val="000620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7527">
      <w:bodyDiv w:val="1"/>
      <w:marLeft w:val="0"/>
      <w:marRight w:val="0"/>
      <w:marTop w:val="0"/>
      <w:marBottom w:val="0"/>
      <w:divBdr>
        <w:top w:val="none" w:sz="0" w:space="0" w:color="auto"/>
        <w:left w:val="none" w:sz="0" w:space="0" w:color="auto"/>
        <w:bottom w:val="none" w:sz="0" w:space="0" w:color="auto"/>
        <w:right w:val="none" w:sz="0" w:space="0" w:color="auto"/>
      </w:divBdr>
      <w:divsChild>
        <w:div w:id="1106121536">
          <w:marLeft w:val="0"/>
          <w:marRight w:val="0"/>
          <w:marTop w:val="0"/>
          <w:marBottom w:val="0"/>
          <w:divBdr>
            <w:top w:val="none" w:sz="0" w:space="0" w:color="auto"/>
            <w:left w:val="none" w:sz="0" w:space="0" w:color="auto"/>
            <w:bottom w:val="none" w:sz="0" w:space="0" w:color="auto"/>
            <w:right w:val="none" w:sz="0" w:space="0" w:color="auto"/>
          </w:divBdr>
          <w:divsChild>
            <w:div w:id="155532478">
              <w:marLeft w:val="0"/>
              <w:marRight w:val="0"/>
              <w:marTop w:val="0"/>
              <w:marBottom w:val="0"/>
              <w:divBdr>
                <w:top w:val="none" w:sz="0" w:space="0" w:color="auto"/>
                <w:left w:val="none" w:sz="0" w:space="0" w:color="auto"/>
                <w:bottom w:val="none" w:sz="0" w:space="0" w:color="auto"/>
                <w:right w:val="none" w:sz="0" w:space="0" w:color="auto"/>
              </w:divBdr>
            </w:div>
            <w:div w:id="1787579151">
              <w:marLeft w:val="0"/>
              <w:marRight w:val="0"/>
              <w:marTop w:val="0"/>
              <w:marBottom w:val="0"/>
              <w:divBdr>
                <w:top w:val="none" w:sz="0" w:space="0" w:color="auto"/>
                <w:left w:val="none" w:sz="0" w:space="0" w:color="auto"/>
                <w:bottom w:val="none" w:sz="0" w:space="0" w:color="auto"/>
                <w:right w:val="none" w:sz="0" w:space="0" w:color="auto"/>
              </w:divBdr>
            </w:div>
            <w:div w:id="214315385">
              <w:marLeft w:val="0"/>
              <w:marRight w:val="0"/>
              <w:marTop w:val="0"/>
              <w:marBottom w:val="0"/>
              <w:divBdr>
                <w:top w:val="none" w:sz="0" w:space="0" w:color="auto"/>
                <w:left w:val="none" w:sz="0" w:space="0" w:color="auto"/>
                <w:bottom w:val="none" w:sz="0" w:space="0" w:color="auto"/>
                <w:right w:val="none" w:sz="0" w:space="0" w:color="auto"/>
              </w:divBdr>
            </w:div>
            <w:div w:id="9338438">
              <w:marLeft w:val="0"/>
              <w:marRight w:val="0"/>
              <w:marTop w:val="0"/>
              <w:marBottom w:val="0"/>
              <w:divBdr>
                <w:top w:val="none" w:sz="0" w:space="0" w:color="auto"/>
                <w:left w:val="none" w:sz="0" w:space="0" w:color="auto"/>
                <w:bottom w:val="none" w:sz="0" w:space="0" w:color="auto"/>
                <w:right w:val="none" w:sz="0" w:space="0" w:color="auto"/>
              </w:divBdr>
            </w:div>
            <w:div w:id="1924947413">
              <w:marLeft w:val="0"/>
              <w:marRight w:val="0"/>
              <w:marTop w:val="0"/>
              <w:marBottom w:val="0"/>
              <w:divBdr>
                <w:top w:val="none" w:sz="0" w:space="0" w:color="auto"/>
                <w:left w:val="none" w:sz="0" w:space="0" w:color="auto"/>
                <w:bottom w:val="none" w:sz="0" w:space="0" w:color="auto"/>
                <w:right w:val="none" w:sz="0" w:space="0" w:color="auto"/>
              </w:divBdr>
            </w:div>
            <w:div w:id="1571386461">
              <w:marLeft w:val="0"/>
              <w:marRight w:val="0"/>
              <w:marTop w:val="0"/>
              <w:marBottom w:val="0"/>
              <w:divBdr>
                <w:top w:val="none" w:sz="0" w:space="0" w:color="auto"/>
                <w:left w:val="none" w:sz="0" w:space="0" w:color="auto"/>
                <w:bottom w:val="none" w:sz="0" w:space="0" w:color="auto"/>
                <w:right w:val="none" w:sz="0" w:space="0" w:color="auto"/>
              </w:divBdr>
            </w:div>
            <w:div w:id="131421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825632">
      <w:bodyDiv w:val="1"/>
      <w:marLeft w:val="0"/>
      <w:marRight w:val="0"/>
      <w:marTop w:val="0"/>
      <w:marBottom w:val="0"/>
      <w:divBdr>
        <w:top w:val="none" w:sz="0" w:space="0" w:color="auto"/>
        <w:left w:val="none" w:sz="0" w:space="0" w:color="auto"/>
        <w:bottom w:val="none" w:sz="0" w:space="0" w:color="auto"/>
        <w:right w:val="none" w:sz="0" w:space="0" w:color="auto"/>
      </w:divBdr>
      <w:divsChild>
        <w:div w:id="1555462848">
          <w:marLeft w:val="0"/>
          <w:marRight w:val="0"/>
          <w:marTop w:val="0"/>
          <w:marBottom w:val="0"/>
          <w:divBdr>
            <w:top w:val="none" w:sz="0" w:space="0" w:color="auto"/>
            <w:left w:val="none" w:sz="0" w:space="0" w:color="auto"/>
            <w:bottom w:val="none" w:sz="0" w:space="0" w:color="auto"/>
            <w:right w:val="none" w:sz="0" w:space="0" w:color="auto"/>
          </w:divBdr>
          <w:divsChild>
            <w:div w:id="97776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6431">
      <w:bodyDiv w:val="1"/>
      <w:marLeft w:val="0"/>
      <w:marRight w:val="0"/>
      <w:marTop w:val="0"/>
      <w:marBottom w:val="0"/>
      <w:divBdr>
        <w:top w:val="none" w:sz="0" w:space="0" w:color="auto"/>
        <w:left w:val="none" w:sz="0" w:space="0" w:color="auto"/>
        <w:bottom w:val="none" w:sz="0" w:space="0" w:color="auto"/>
        <w:right w:val="none" w:sz="0" w:space="0" w:color="auto"/>
      </w:divBdr>
      <w:divsChild>
        <w:div w:id="845754384">
          <w:marLeft w:val="480"/>
          <w:marRight w:val="0"/>
          <w:marTop w:val="0"/>
          <w:marBottom w:val="0"/>
          <w:divBdr>
            <w:top w:val="none" w:sz="0" w:space="0" w:color="auto"/>
            <w:left w:val="none" w:sz="0" w:space="0" w:color="auto"/>
            <w:bottom w:val="none" w:sz="0" w:space="0" w:color="auto"/>
            <w:right w:val="none" w:sz="0" w:space="0" w:color="auto"/>
          </w:divBdr>
          <w:divsChild>
            <w:div w:id="1149520697">
              <w:marLeft w:val="0"/>
              <w:marRight w:val="0"/>
              <w:marTop w:val="0"/>
              <w:marBottom w:val="0"/>
              <w:divBdr>
                <w:top w:val="none" w:sz="0" w:space="0" w:color="auto"/>
                <w:left w:val="none" w:sz="0" w:space="0" w:color="auto"/>
                <w:bottom w:val="none" w:sz="0" w:space="0" w:color="auto"/>
                <w:right w:val="none" w:sz="0" w:space="0" w:color="auto"/>
              </w:divBdr>
            </w:div>
            <w:div w:id="1916821607">
              <w:marLeft w:val="0"/>
              <w:marRight w:val="0"/>
              <w:marTop w:val="0"/>
              <w:marBottom w:val="0"/>
              <w:divBdr>
                <w:top w:val="none" w:sz="0" w:space="0" w:color="auto"/>
                <w:left w:val="none" w:sz="0" w:space="0" w:color="auto"/>
                <w:bottom w:val="none" w:sz="0" w:space="0" w:color="auto"/>
                <w:right w:val="none" w:sz="0" w:space="0" w:color="auto"/>
              </w:divBdr>
            </w:div>
            <w:div w:id="1761174913">
              <w:marLeft w:val="0"/>
              <w:marRight w:val="0"/>
              <w:marTop w:val="0"/>
              <w:marBottom w:val="0"/>
              <w:divBdr>
                <w:top w:val="none" w:sz="0" w:space="0" w:color="auto"/>
                <w:left w:val="none" w:sz="0" w:space="0" w:color="auto"/>
                <w:bottom w:val="none" w:sz="0" w:space="0" w:color="auto"/>
                <w:right w:val="none" w:sz="0" w:space="0" w:color="auto"/>
              </w:divBdr>
            </w:div>
            <w:div w:id="500510851">
              <w:marLeft w:val="0"/>
              <w:marRight w:val="0"/>
              <w:marTop w:val="0"/>
              <w:marBottom w:val="0"/>
              <w:divBdr>
                <w:top w:val="none" w:sz="0" w:space="0" w:color="auto"/>
                <w:left w:val="none" w:sz="0" w:space="0" w:color="auto"/>
                <w:bottom w:val="none" w:sz="0" w:space="0" w:color="auto"/>
                <w:right w:val="none" w:sz="0" w:space="0" w:color="auto"/>
              </w:divBdr>
            </w:div>
            <w:div w:id="867835146">
              <w:marLeft w:val="0"/>
              <w:marRight w:val="0"/>
              <w:marTop w:val="0"/>
              <w:marBottom w:val="0"/>
              <w:divBdr>
                <w:top w:val="none" w:sz="0" w:space="0" w:color="auto"/>
                <w:left w:val="none" w:sz="0" w:space="0" w:color="auto"/>
                <w:bottom w:val="none" w:sz="0" w:space="0" w:color="auto"/>
                <w:right w:val="none" w:sz="0" w:space="0" w:color="auto"/>
              </w:divBdr>
            </w:div>
            <w:div w:id="227883584">
              <w:marLeft w:val="0"/>
              <w:marRight w:val="0"/>
              <w:marTop w:val="0"/>
              <w:marBottom w:val="0"/>
              <w:divBdr>
                <w:top w:val="none" w:sz="0" w:space="0" w:color="auto"/>
                <w:left w:val="none" w:sz="0" w:space="0" w:color="auto"/>
                <w:bottom w:val="none" w:sz="0" w:space="0" w:color="auto"/>
                <w:right w:val="none" w:sz="0" w:space="0" w:color="auto"/>
              </w:divBdr>
            </w:div>
            <w:div w:id="1294751628">
              <w:marLeft w:val="0"/>
              <w:marRight w:val="0"/>
              <w:marTop w:val="0"/>
              <w:marBottom w:val="0"/>
              <w:divBdr>
                <w:top w:val="none" w:sz="0" w:space="0" w:color="auto"/>
                <w:left w:val="none" w:sz="0" w:space="0" w:color="auto"/>
                <w:bottom w:val="none" w:sz="0" w:space="0" w:color="auto"/>
                <w:right w:val="none" w:sz="0" w:space="0" w:color="auto"/>
              </w:divBdr>
            </w:div>
            <w:div w:id="1090738000">
              <w:marLeft w:val="0"/>
              <w:marRight w:val="0"/>
              <w:marTop w:val="0"/>
              <w:marBottom w:val="0"/>
              <w:divBdr>
                <w:top w:val="none" w:sz="0" w:space="0" w:color="auto"/>
                <w:left w:val="none" w:sz="0" w:space="0" w:color="auto"/>
                <w:bottom w:val="none" w:sz="0" w:space="0" w:color="auto"/>
                <w:right w:val="none" w:sz="0" w:space="0" w:color="auto"/>
              </w:divBdr>
            </w:div>
            <w:div w:id="1065227418">
              <w:marLeft w:val="0"/>
              <w:marRight w:val="0"/>
              <w:marTop w:val="0"/>
              <w:marBottom w:val="0"/>
              <w:divBdr>
                <w:top w:val="none" w:sz="0" w:space="0" w:color="auto"/>
                <w:left w:val="none" w:sz="0" w:space="0" w:color="auto"/>
                <w:bottom w:val="none" w:sz="0" w:space="0" w:color="auto"/>
                <w:right w:val="none" w:sz="0" w:space="0" w:color="auto"/>
              </w:divBdr>
            </w:div>
            <w:div w:id="1645619793">
              <w:marLeft w:val="0"/>
              <w:marRight w:val="0"/>
              <w:marTop w:val="0"/>
              <w:marBottom w:val="0"/>
              <w:divBdr>
                <w:top w:val="none" w:sz="0" w:space="0" w:color="auto"/>
                <w:left w:val="none" w:sz="0" w:space="0" w:color="auto"/>
                <w:bottom w:val="none" w:sz="0" w:space="0" w:color="auto"/>
                <w:right w:val="none" w:sz="0" w:space="0" w:color="auto"/>
              </w:divBdr>
            </w:div>
            <w:div w:id="1730494941">
              <w:marLeft w:val="0"/>
              <w:marRight w:val="0"/>
              <w:marTop w:val="0"/>
              <w:marBottom w:val="0"/>
              <w:divBdr>
                <w:top w:val="none" w:sz="0" w:space="0" w:color="auto"/>
                <w:left w:val="none" w:sz="0" w:space="0" w:color="auto"/>
                <w:bottom w:val="none" w:sz="0" w:space="0" w:color="auto"/>
                <w:right w:val="none" w:sz="0" w:space="0" w:color="auto"/>
              </w:divBdr>
            </w:div>
            <w:div w:id="145890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33">
      <w:bodyDiv w:val="1"/>
      <w:marLeft w:val="0"/>
      <w:marRight w:val="0"/>
      <w:marTop w:val="0"/>
      <w:marBottom w:val="0"/>
      <w:divBdr>
        <w:top w:val="none" w:sz="0" w:space="0" w:color="auto"/>
        <w:left w:val="none" w:sz="0" w:space="0" w:color="auto"/>
        <w:bottom w:val="none" w:sz="0" w:space="0" w:color="auto"/>
        <w:right w:val="none" w:sz="0" w:space="0" w:color="auto"/>
      </w:divBdr>
      <w:divsChild>
        <w:div w:id="1868594314">
          <w:marLeft w:val="0"/>
          <w:marRight w:val="0"/>
          <w:marTop w:val="0"/>
          <w:marBottom w:val="0"/>
          <w:divBdr>
            <w:top w:val="none" w:sz="0" w:space="0" w:color="auto"/>
            <w:left w:val="none" w:sz="0" w:space="0" w:color="auto"/>
            <w:bottom w:val="none" w:sz="0" w:space="0" w:color="auto"/>
            <w:right w:val="none" w:sz="0" w:space="0" w:color="auto"/>
          </w:divBdr>
          <w:divsChild>
            <w:div w:id="1953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0F44D-542D-49BF-8123-B4726DE96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813</TotalTime>
  <Pages>14</Pages>
  <Words>3447</Words>
  <Characters>19654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93</cp:revision>
  <dcterms:created xsi:type="dcterms:W3CDTF">2019-06-15T17:14:00Z</dcterms:created>
  <dcterms:modified xsi:type="dcterms:W3CDTF">2019-06-21T17:45:00Z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id="oGc7I9g6"/&gt;&lt;style id="" hasBibliography="0" bibliographyStyleHasBeenSet="0"/&gt;&lt;prefs/&gt;&lt;/data&gt;</vt:lpwstr>
  </property>
</Properties>
</file>