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rsidR="009F39EF" w:rsidRDefault="009F39EF" w:rsidP="0062561D">
      <w:pPr>
        <w:spacing w:after="0"/>
        <w:contextualSpacing/>
        <w:rPr>
          <w:rFonts w:ascii="Times New Roman" w:hAnsi="Times New Roman" w:cs="Times New Roman"/>
          <w:sz w:val="24"/>
          <w:szCs w:val="24"/>
        </w:rPr>
      </w:pPr>
    </w:p>
    <w:p w:rsidR="009F39EF" w:rsidRDefault="009F39EF" w:rsidP="0062561D">
      <w:pPr>
        <w:spacing w:after="0"/>
        <w:contextualSpacing/>
        <w:rPr>
          <w:rFonts w:ascii="Times New Roman" w:hAnsi="Times New Roman" w:cs="Times New Roman"/>
          <w:sz w:val="24"/>
          <w:szCs w:val="24"/>
        </w:rPr>
      </w:pPr>
      <w:r>
        <w:rPr>
          <w:rFonts w:ascii="Times New Roman" w:hAnsi="Times New Roman" w:cs="Times New Roman"/>
          <w:sz w:val="24"/>
          <w:szCs w:val="24"/>
        </w:rPr>
        <w:t xml:space="preserve">Since 1993, US workers have had access to 12 weeks of unpaid leave under the Family and Medical Leave Act (FMLA). </w:t>
      </w:r>
    </w:p>
    <w:p w:rsidR="009F39EF" w:rsidRDefault="009F39EF" w:rsidP="0062561D">
      <w:pPr>
        <w:spacing w:after="0"/>
        <w:contextualSpacing/>
        <w:rPr>
          <w:rFonts w:ascii="Times New Roman" w:hAnsi="Times New Roman" w:cs="Times New Roman"/>
          <w:sz w:val="24"/>
          <w:szCs w:val="24"/>
        </w:rPr>
      </w:pPr>
    </w:p>
    <w:p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rsidR="0062561D" w:rsidRDefault="0062561D" w:rsidP="0062561D">
      <w:pPr>
        <w:spacing w:after="0"/>
        <w:contextualSpacing/>
        <w:rPr>
          <w:rFonts w:ascii="Times New Roman" w:hAnsi="Times New Roman" w:cs="Times New Roman"/>
          <w:sz w:val="24"/>
          <w:szCs w:val="24"/>
        </w:rPr>
      </w:pPr>
    </w:p>
    <w:p w:rsidR="00474B03" w:rsidRDefault="009F39EF" w:rsidP="00474B0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rsidR="00474B03" w:rsidRDefault="00474B03">
      <w:pPr>
        <w:contextualSpacing/>
        <w:rPr>
          <w:rFonts w:ascii="Times New Roman" w:hAnsi="Times New Roman" w:cs="Times New Roman"/>
          <w:sz w:val="24"/>
          <w:szCs w:val="24"/>
        </w:rPr>
      </w:pPr>
    </w:p>
    <w:p w:rsidR="00474B03" w:rsidRDefault="00474B03">
      <w:pPr>
        <w:contextualSpacing/>
        <w:rPr>
          <w:rFonts w:ascii="Times New Roman" w:hAnsi="Times New Roman" w:cs="Times New Roman"/>
          <w:sz w:val="24"/>
          <w:szCs w:val="24"/>
        </w:rPr>
      </w:pPr>
      <w:r>
        <w:rPr>
          <w:rFonts w:ascii="Times New Roman" w:hAnsi="Times New Roman" w:cs="Times New Roman"/>
          <w:sz w:val="24"/>
          <w:szCs w:val="24"/>
        </w:rPr>
        <w:tab/>
        <w:t xml:space="preserve">Curtis, Hirsch, and Schroeder (2016) use data from the Quarterly Workforce Indicators to estimate the effect of the CA-PFL on </w:t>
      </w:r>
      <w:r w:rsidR="00781D4E">
        <w:rPr>
          <w:rFonts w:ascii="Times New Roman" w:hAnsi="Times New Roman" w:cs="Times New Roman"/>
          <w:sz w:val="24"/>
          <w:szCs w:val="24"/>
        </w:rPr>
        <w:t xml:space="preserve">labor market outcomes by examining employment flows and wage offers among new hires. </w:t>
      </w:r>
      <w:r w:rsidR="00AF6473">
        <w:rPr>
          <w:rFonts w:ascii="Times New Roman" w:hAnsi="Times New Roman" w:cs="Times New Roman"/>
          <w:sz w:val="24"/>
          <w:szCs w:val="24"/>
        </w:rPr>
        <w:t xml:space="preserve">The authors find that although the CA-PFL had little effect on earnings for young women in California, the policy did result in increased labor market churn (defined by the authors as separations, hires, and recalls). </w:t>
      </w:r>
      <w:bookmarkStart w:id="0" w:name="_GoBack"/>
      <w:bookmarkEnd w:id="0"/>
    </w:p>
    <w:p w:rsidR="00474B03" w:rsidRDefault="00474B03">
      <w:pPr>
        <w:contextualSpacing/>
        <w:rPr>
          <w:rFonts w:ascii="Times New Roman" w:hAnsi="Times New Roman" w:cs="Times New Roman"/>
          <w:sz w:val="24"/>
          <w:szCs w:val="24"/>
        </w:rPr>
      </w:pPr>
    </w:p>
    <w:p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rsidR="00474B03" w:rsidRDefault="00474B03">
      <w:pPr>
        <w:contextualSpacing/>
        <w:rPr>
          <w:rFonts w:ascii="Times New Roman" w:hAnsi="Times New Roman" w:cs="Times New Roman"/>
          <w:sz w:val="24"/>
          <w:szCs w:val="24"/>
        </w:rPr>
      </w:pPr>
    </w:p>
    <w:p w:rsidR="00474B03" w:rsidRPr="00474B03" w:rsidRDefault="002A43CB">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sectPr w:rsidR="00474B03" w:rsidRPr="00474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B4" w:rsidRDefault="00EB5AB4" w:rsidP="00D90AB6">
      <w:pPr>
        <w:spacing w:after="0" w:line="240" w:lineRule="auto"/>
      </w:pPr>
      <w:r>
        <w:separator/>
      </w:r>
    </w:p>
  </w:endnote>
  <w:endnote w:type="continuationSeparator" w:id="0">
    <w:p w:rsidR="00EB5AB4" w:rsidRDefault="00EB5AB4"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B4" w:rsidRDefault="00EB5AB4" w:rsidP="00D90AB6">
      <w:pPr>
        <w:spacing w:after="0" w:line="240" w:lineRule="auto"/>
      </w:pPr>
      <w:r>
        <w:separator/>
      </w:r>
    </w:p>
  </w:footnote>
  <w:footnote w:type="continuationSeparator" w:id="0">
    <w:p w:rsidR="00EB5AB4" w:rsidRDefault="00EB5AB4" w:rsidP="00D90A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1F1B1D"/>
    <w:rsid w:val="002A43CB"/>
    <w:rsid w:val="00474B03"/>
    <w:rsid w:val="0062561D"/>
    <w:rsid w:val="00680B5F"/>
    <w:rsid w:val="00781D4E"/>
    <w:rsid w:val="009F39EF"/>
    <w:rsid w:val="00AF6473"/>
    <w:rsid w:val="00BE21C5"/>
    <w:rsid w:val="00D90AB6"/>
    <w:rsid w:val="00EB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63B0"/>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0B24-D28C-4AE0-9374-C65D1A08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2019-06-07T14:16:00Z</dcterms:created>
  <dcterms:modified xsi:type="dcterms:W3CDTF">2019-06-08T18:23:00Z</dcterms:modified>
</cp:coreProperties>
</file>