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177E2A">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177E2A">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177E2A">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177E2A">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177E2A">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177E2A">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177E2A">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177E2A">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177E2A">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177E2A">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177E2A">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177E2A">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177E2A">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177E2A">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723"/>
        <w:gridCol w:w="3431"/>
        <w:gridCol w:w="1534"/>
        <w:gridCol w:w="803"/>
        <w:gridCol w:w="1244"/>
        <w:gridCol w:w="1615"/>
      </w:tblGrid>
      <w:tr w:rsidR="00B21062" w14:paraId="4024DC26" w14:textId="6CE61F97" w:rsidTr="00E67C8F">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615" w:type="dxa"/>
          </w:tcPr>
          <w:p w14:paraId="5356D658" w14:textId="316858D0" w:rsidR="004372F2" w:rsidRDefault="00AC534F" w:rsidP="00B21062">
            <w:pPr>
              <w:contextualSpacing/>
              <w:jc w:val="center"/>
              <w:rPr>
                <w:rFonts w:ascii="Times New Roman" w:hAnsi="Times New Roman" w:cs="Times New Roman"/>
                <w:sz w:val="24"/>
                <w:szCs w:val="24"/>
              </w:rPr>
            </w:pPr>
            <w:r>
              <w:rPr>
                <w:rFonts w:ascii="Times New Roman" w:hAnsi="Times New Roman" w:cs="Times New Roman"/>
                <w:sz w:val="24"/>
                <w:szCs w:val="24"/>
              </w:rPr>
              <w:t>Median</w:t>
            </w:r>
            <w:r w:rsidR="00B21062">
              <w:rPr>
                <w:rFonts w:ascii="Times New Roman" w:hAnsi="Times New Roman" w:cs="Times New Roman"/>
                <w:sz w:val="24"/>
                <w:szCs w:val="24"/>
              </w:rPr>
              <w:t xml:space="preserve"> </w:t>
            </w:r>
            <w:r w:rsidR="004372F2">
              <w:rPr>
                <w:rFonts w:ascii="Times New Roman" w:hAnsi="Times New Roman" w:cs="Times New Roman"/>
                <w:sz w:val="24"/>
                <w:szCs w:val="24"/>
              </w:rPr>
              <w:t>Education</w:t>
            </w:r>
            <w:r w:rsidR="00E67C8F">
              <w:rPr>
                <w:rFonts w:ascii="Times New Roman" w:hAnsi="Times New Roman" w:cs="Times New Roman"/>
                <w:sz w:val="24"/>
                <w:szCs w:val="24"/>
              </w:rPr>
              <w:t>al Attainment</w:t>
            </w:r>
          </w:p>
        </w:tc>
      </w:tr>
      <w:tr w:rsidR="00B21062" w14:paraId="7D8B84F9" w14:textId="4569DCCA" w:rsidTr="00E67C8F">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615" w:type="dxa"/>
          </w:tcPr>
          <w:p w14:paraId="0947FDAA" w14:textId="234C7ECC" w:rsidR="00AC534F" w:rsidRDefault="00B21062"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009EFA01" w14:textId="29DB12CA" w:rsidTr="00E67C8F">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615" w:type="dxa"/>
          </w:tcPr>
          <w:p w14:paraId="546C936B" w14:textId="1EE4519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3A303615" w14:textId="64604703" w:rsidTr="00E67C8F">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615" w:type="dxa"/>
          </w:tcPr>
          <w:p w14:paraId="5C912171" w14:textId="757C9EE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3E71CA43" w14:textId="46BCE6B5" w:rsidTr="00E67C8F">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615" w:type="dxa"/>
          </w:tcPr>
          <w:p w14:paraId="57EB94DB" w14:textId="18F533C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77122BA1" w14:textId="03BA6D01" w:rsidTr="00E67C8F">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615" w:type="dxa"/>
          </w:tcPr>
          <w:p w14:paraId="21F471DE" w14:textId="5D825A1D"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21B98065" w14:textId="39C11576" w:rsidTr="00E67C8F">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615" w:type="dxa"/>
          </w:tcPr>
          <w:p w14:paraId="3F61121B" w14:textId="2DED602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6968133B" w14:textId="0A005F2B" w:rsidTr="00E67C8F">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615" w:type="dxa"/>
          </w:tcPr>
          <w:p w14:paraId="4B4FA16E" w14:textId="350D62B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68AE8380" w14:textId="48F0C443" w:rsidTr="00E67C8F">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615" w:type="dxa"/>
          </w:tcPr>
          <w:p w14:paraId="57A62D3C" w14:textId="24E7D12A"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7B676C79" w14:textId="1D222A0B" w:rsidTr="00E67C8F">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615" w:type="dxa"/>
          </w:tcPr>
          <w:p w14:paraId="42B3BA44" w14:textId="6F77332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57AC3B63" w14:textId="03FDAD7B" w:rsidTr="00E67C8F">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615" w:type="dxa"/>
          </w:tcPr>
          <w:p w14:paraId="35F4F4F1" w14:textId="3C802356"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0A88FF23" w14:textId="1165904E" w:rsidTr="00E67C8F">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615" w:type="dxa"/>
          </w:tcPr>
          <w:p w14:paraId="005DB025" w14:textId="58EE87E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2639819" w14:textId="253B2A93" w:rsidTr="00E67C8F">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615" w:type="dxa"/>
          </w:tcPr>
          <w:p w14:paraId="69DD068B" w14:textId="4195C58F"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B9F9CCA" w14:textId="5F50F31D" w:rsidTr="00E67C8F">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615" w:type="dxa"/>
          </w:tcPr>
          <w:p w14:paraId="3F8B7999" w14:textId="21850641"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6C829D36" w14:textId="64C4C928" w:rsidTr="00E67C8F">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615" w:type="dxa"/>
          </w:tcPr>
          <w:p w14:paraId="6C65F6EB" w14:textId="79B3178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Vocational Degree</w:t>
            </w:r>
          </w:p>
        </w:tc>
      </w:tr>
      <w:tr w:rsidR="00B21062" w14:paraId="46A4CDA3" w14:textId="1EBE8B16" w:rsidTr="00E67C8F">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615" w:type="dxa"/>
          </w:tcPr>
          <w:p w14:paraId="0EEA8C42" w14:textId="06D7F3EA"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201D40F7" w14:textId="57137B78" w:rsidTr="00E67C8F">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615" w:type="dxa"/>
          </w:tcPr>
          <w:p w14:paraId="21748CFA" w14:textId="4F8F8781"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32603237" w14:textId="0F511942" w:rsidTr="00E67C8F">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615" w:type="dxa"/>
          </w:tcPr>
          <w:p w14:paraId="3542A290" w14:textId="2C60287C"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F2AC883" w14:textId="586340E2" w:rsidTr="00E67C8F">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615" w:type="dxa"/>
          </w:tcPr>
          <w:p w14:paraId="72BCFE62" w14:textId="231B1F03"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Eighth Grade</w:t>
            </w:r>
          </w:p>
        </w:tc>
      </w:tr>
      <w:tr w:rsidR="00B21062" w14:paraId="3F3ED9DD" w14:textId="5777DF19" w:rsidTr="00E67C8F">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615" w:type="dxa"/>
          </w:tcPr>
          <w:p w14:paraId="2CB6B8B2" w14:textId="799CA7F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30E4ABB6" w14:textId="78D84CBE" w:rsidTr="00E67C8F">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615" w:type="dxa"/>
          </w:tcPr>
          <w:p w14:paraId="1D050B30" w14:textId="54127452"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64EB80F4" w14:textId="658AF525" w:rsidTr="00E67C8F">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615" w:type="dxa"/>
          </w:tcPr>
          <w:p w14:paraId="1EEB7BF0" w14:textId="3678E3A6"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4CE62E26" w14:textId="4AFE6474" w:rsidTr="00E67C8F">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615" w:type="dxa"/>
          </w:tcPr>
          <w:p w14:paraId="1C608DCF" w14:textId="417F74C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71086899" w14:textId="3F2D059B" w:rsidTr="00E67C8F">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61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E67C8F">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61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lastRenderedPageBreak/>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bookmarkStart w:id="10" w:name="_GoBack"/>
            <w:bookmarkEnd w:id="10"/>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1" w:name="_Toc12541047"/>
      <w:r>
        <w:t xml:space="preserve">Table </w:t>
      </w:r>
      <w:fldSimple w:instr=" SEQ Table \* ARABIC ">
        <w:r>
          <w:rPr>
            <w:noProof/>
          </w:rPr>
          <w:t>6</w:t>
        </w:r>
        <w:bookmarkEnd w:id="11"/>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2" w:name="_Toc12282216"/>
      <w:r>
        <w:t>Methodology</w:t>
      </w:r>
      <w:bookmarkEnd w:id="12"/>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proofErr w:type="spellStart"/>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proofErr w:type="spellEnd"/>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proofErr w:type="gramStart"/>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656C75A6" w:rsidR="00F15B17" w:rsidRDefault="00177E2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3" w:name="_Toc12541029"/>
      <w:r>
        <w:t xml:space="preserve">Equation </w:t>
      </w:r>
      <w:fldSimple w:instr=" SEQ Equation \* ARABIC ">
        <w:r>
          <w:rPr>
            <w:noProof/>
          </w:rPr>
          <w:t>1</w:t>
        </w:r>
        <w:bookmarkEnd w:id="13"/>
      </w:fldSimple>
    </w:p>
    <w:p w14:paraId="27077A54" w14:textId="1708CAE0" w:rsidR="007C6007" w:rsidRPr="007C6007" w:rsidRDefault="00177E2A"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834A9D6"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6806CF">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 xml:space="preserve">The point estimates of the interacted ‘months since birth’ indicators and the policy variable are visualized in the figures of the Results section.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A4D6EBF" w14:textId="2B4362C3" w:rsidR="00F006A7" w:rsidRDefault="00CF572E" w:rsidP="00F006A7">
      <w:pPr>
        <w:pStyle w:val="thesisheader"/>
      </w:pPr>
      <w:bookmarkStart w:id="14" w:name="_Toc12282217"/>
      <w:r>
        <w:lastRenderedPageBreak/>
        <w:t>Results</w:t>
      </w:r>
      <w:bookmarkEnd w:id="14"/>
    </w:p>
    <w:p w14:paraId="5330A4BC" w14:textId="77777777" w:rsidR="0086081F" w:rsidRDefault="0086081F" w:rsidP="00F006A7">
      <w:pPr>
        <w:pStyle w:val="thesisheader"/>
      </w:pPr>
    </w:p>
    <w:p w14:paraId="51868656" w14:textId="767F5ACE" w:rsidR="006232D5" w:rsidRPr="006232D5"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62D81A88" w:rsidR="00546322" w:rsidRDefault="00546322">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447B512C"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r w:rsidR="003B251A">
        <w:rPr>
          <w:rFonts w:ascii="Times New Roman" w:hAnsi="Times New Roman" w:cs="Times New Roman"/>
          <w:sz w:val="24"/>
          <w:szCs w:val="24"/>
        </w:rPr>
        <w:t xml:space="preserve"> for work</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5DD1652" w14:textId="5F82B699"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15" w:name="_Toc12282218"/>
      <w:r>
        <w:t>Discussion</w:t>
      </w:r>
      <w:bookmarkEnd w:id="15"/>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6" w:name="_Toc12282219"/>
      <w:r>
        <w:t>Limitations</w:t>
      </w:r>
      <w:bookmarkEnd w:id="16"/>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9FCBB" w14:textId="77777777" w:rsidR="000E60B1" w:rsidRDefault="000E60B1" w:rsidP="00D90AB6">
      <w:pPr>
        <w:spacing w:line="240" w:lineRule="auto"/>
      </w:pPr>
      <w:r>
        <w:separator/>
      </w:r>
    </w:p>
  </w:endnote>
  <w:endnote w:type="continuationSeparator" w:id="0">
    <w:p w14:paraId="0C05CB7A" w14:textId="77777777" w:rsidR="000E60B1" w:rsidRDefault="000E60B1"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24BA2" w14:textId="77777777" w:rsidR="000E60B1" w:rsidRDefault="000E60B1" w:rsidP="00D90AB6">
      <w:pPr>
        <w:spacing w:line="240" w:lineRule="auto"/>
      </w:pPr>
      <w:r>
        <w:separator/>
      </w:r>
    </w:p>
  </w:footnote>
  <w:footnote w:type="continuationSeparator" w:id="0">
    <w:p w14:paraId="167BDCFD" w14:textId="77777777" w:rsidR="000E60B1" w:rsidRDefault="000E60B1" w:rsidP="00D90AB6">
      <w:pPr>
        <w:spacing w:line="240" w:lineRule="auto"/>
      </w:pPr>
      <w:r>
        <w:continuationSeparator/>
      </w:r>
    </w:p>
  </w:footnote>
  <w:footnote w:id="1">
    <w:p w14:paraId="59D5AF89" w14:textId="2FB15117" w:rsidR="00177E2A" w:rsidRDefault="00177E2A">
      <w:pPr>
        <w:pStyle w:val="FootnoteText"/>
      </w:pPr>
      <w:r>
        <w:rPr>
          <w:rStyle w:val="FootnoteReference"/>
        </w:rPr>
        <w:footnoteRef/>
      </w:r>
      <w:r>
        <w:t xml:space="preserve"> In terms of 2019 dollars</w:t>
      </w:r>
    </w:p>
  </w:footnote>
  <w:footnote w:id="2">
    <w:p w14:paraId="67C4E05E" w14:textId="39080D3B" w:rsidR="00177E2A" w:rsidRDefault="00177E2A">
      <w:pPr>
        <w:pStyle w:val="FootnoteText"/>
      </w:pPr>
      <w:r>
        <w:rPr>
          <w:rStyle w:val="FootnoteReference"/>
        </w:rPr>
        <w:footnoteRef/>
      </w:r>
      <w:r>
        <w:t xml:space="preserve"> In terms of 2019 dollars</w:t>
      </w:r>
    </w:p>
  </w:footnote>
  <w:footnote w:id="3">
    <w:p w14:paraId="68A7584B" w14:textId="7000603D" w:rsidR="00177E2A" w:rsidRDefault="00177E2A">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177E2A" w:rsidRDefault="00177E2A">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177E2A" w:rsidRDefault="00177E2A">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5699A6B" w:rsidR="00177E2A" w:rsidRDefault="00177E2A">
        <w:pPr>
          <w:pStyle w:val="Header"/>
          <w:jc w:val="right"/>
        </w:pPr>
        <w:r>
          <w:fldChar w:fldCharType="begin"/>
        </w:r>
        <w:r>
          <w:instrText xml:space="preserve"> PAGE   \* MERGEFORMAT </w:instrText>
        </w:r>
        <w:r>
          <w:fldChar w:fldCharType="separate"/>
        </w:r>
        <w:r w:rsidR="009630F4">
          <w:rPr>
            <w:noProof/>
          </w:rPr>
          <w:t>9</w:t>
        </w:r>
        <w:r>
          <w:rPr>
            <w:noProof/>
          </w:rPr>
          <w:fldChar w:fldCharType="end"/>
        </w:r>
      </w:p>
    </w:sdtContent>
  </w:sdt>
  <w:p w14:paraId="6C1D876D" w14:textId="77777777" w:rsidR="00177E2A" w:rsidRDefault="00177E2A"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77E2A"/>
    <w:rsid w:val="001864D4"/>
    <w:rsid w:val="001907AF"/>
    <w:rsid w:val="00192FCA"/>
    <w:rsid w:val="001A3527"/>
    <w:rsid w:val="001A6C98"/>
    <w:rsid w:val="001B2EDD"/>
    <w:rsid w:val="001C1680"/>
    <w:rsid w:val="001C1C38"/>
    <w:rsid w:val="001D2292"/>
    <w:rsid w:val="001E4926"/>
    <w:rsid w:val="001F1B1D"/>
    <w:rsid w:val="001F366E"/>
    <w:rsid w:val="00201C53"/>
    <w:rsid w:val="002111FE"/>
    <w:rsid w:val="002169FA"/>
    <w:rsid w:val="0022180C"/>
    <w:rsid w:val="0023209C"/>
    <w:rsid w:val="00234314"/>
    <w:rsid w:val="00250EA8"/>
    <w:rsid w:val="00257213"/>
    <w:rsid w:val="00271880"/>
    <w:rsid w:val="00285189"/>
    <w:rsid w:val="00291B60"/>
    <w:rsid w:val="002956D8"/>
    <w:rsid w:val="002972A4"/>
    <w:rsid w:val="002A12A8"/>
    <w:rsid w:val="002A2815"/>
    <w:rsid w:val="002A2E45"/>
    <w:rsid w:val="002A43CB"/>
    <w:rsid w:val="002B457F"/>
    <w:rsid w:val="002B5A50"/>
    <w:rsid w:val="002B7B4D"/>
    <w:rsid w:val="002C4C57"/>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6055E"/>
    <w:rsid w:val="003710B9"/>
    <w:rsid w:val="003713BD"/>
    <w:rsid w:val="003871C5"/>
    <w:rsid w:val="003A731B"/>
    <w:rsid w:val="003B251A"/>
    <w:rsid w:val="003B2672"/>
    <w:rsid w:val="003C40BC"/>
    <w:rsid w:val="003C41AF"/>
    <w:rsid w:val="003D721C"/>
    <w:rsid w:val="003D7720"/>
    <w:rsid w:val="003E50FA"/>
    <w:rsid w:val="003E721B"/>
    <w:rsid w:val="003F6925"/>
    <w:rsid w:val="003F6E09"/>
    <w:rsid w:val="0040538B"/>
    <w:rsid w:val="00406D2E"/>
    <w:rsid w:val="00416675"/>
    <w:rsid w:val="00433F5A"/>
    <w:rsid w:val="00434602"/>
    <w:rsid w:val="004372F2"/>
    <w:rsid w:val="00460689"/>
    <w:rsid w:val="00472384"/>
    <w:rsid w:val="0047257F"/>
    <w:rsid w:val="00472F66"/>
    <w:rsid w:val="00474B03"/>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2A43"/>
    <w:rsid w:val="005A7310"/>
    <w:rsid w:val="005B56A4"/>
    <w:rsid w:val="005B6863"/>
    <w:rsid w:val="005C02DD"/>
    <w:rsid w:val="005C096A"/>
    <w:rsid w:val="005D1B7F"/>
    <w:rsid w:val="005E030A"/>
    <w:rsid w:val="005F016E"/>
    <w:rsid w:val="005F0BE4"/>
    <w:rsid w:val="005F4DAC"/>
    <w:rsid w:val="005F52F4"/>
    <w:rsid w:val="00622BEC"/>
    <w:rsid w:val="006232D5"/>
    <w:rsid w:val="0062561D"/>
    <w:rsid w:val="006263F2"/>
    <w:rsid w:val="0062711D"/>
    <w:rsid w:val="0063466F"/>
    <w:rsid w:val="00637137"/>
    <w:rsid w:val="006426BF"/>
    <w:rsid w:val="006458B7"/>
    <w:rsid w:val="00663461"/>
    <w:rsid w:val="006806CF"/>
    <w:rsid w:val="00680B5F"/>
    <w:rsid w:val="006820EA"/>
    <w:rsid w:val="00696F5C"/>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F4"/>
    <w:rsid w:val="00981619"/>
    <w:rsid w:val="009927C8"/>
    <w:rsid w:val="00996E3E"/>
    <w:rsid w:val="009A08AF"/>
    <w:rsid w:val="009B36AD"/>
    <w:rsid w:val="009B76C2"/>
    <w:rsid w:val="009C097A"/>
    <w:rsid w:val="009D5135"/>
    <w:rsid w:val="009D6F4D"/>
    <w:rsid w:val="009F0108"/>
    <w:rsid w:val="009F1BCC"/>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DC1"/>
    <w:rsid w:val="00B67AAF"/>
    <w:rsid w:val="00B72DA6"/>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C32D94"/>
    <w:rsid w:val="00C33B74"/>
    <w:rsid w:val="00C46EB0"/>
    <w:rsid w:val="00C50D65"/>
    <w:rsid w:val="00C52EF0"/>
    <w:rsid w:val="00C53333"/>
    <w:rsid w:val="00C60702"/>
    <w:rsid w:val="00C64206"/>
    <w:rsid w:val="00C85048"/>
    <w:rsid w:val="00C92D9D"/>
    <w:rsid w:val="00C967EC"/>
    <w:rsid w:val="00C970AF"/>
    <w:rsid w:val="00CA0DD8"/>
    <w:rsid w:val="00CB2530"/>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7C8F"/>
    <w:rsid w:val="00E87563"/>
    <w:rsid w:val="00E94AF4"/>
    <w:rsid w:val="00EA01C6"/>
    <w:rsid w:val="00EA42CB"/>
    <w:rsid w:val="00EA5C64"/>
    <w:rsid w:val="00EA6D7A"/>
    <w:rsid w:val="00EB1C75"/>
    <w:rsid w:val="00EC1778"/>
    <w:rsid w:val="00EC2AE8"/>
    <w:rsid w:val="00EC494C"/>
    <w:rsid w:val="00EE1AE6"/>
    <w:rsid w:val="00EE2636"/>
    <w:rsid w:val="00EE5DCA"/>
    <w:rsid w:val="00EF60FB"/>
    <w:rsid w:val="00F006A7"/>
    <w:rsid w:val="00F071F9"/>
    <w:rsid w:val="00F12B90"/>
    <w:rsid w:val="00F15B17"/>
    <w:rsid w:val="00F22B57"/>
    <w:rsid w:val="00F352BB"/>
    <w:rsid w:val="00F36BA8"/>
    <w:rsid w:val="00F75E33"/>
    <w:rsid w:val="00F76921"/>
    <w:rsid w:val="00F82A1C"/>
    <w:rsid w:val="00F83BF5"/>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83729-C526-4C66-B805-6826A999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22</Pages>
  <Words>5070</Words>
  <Characters>28902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278</cp:revision>
  <dcterms:created xsi:type="dcterms:W3CDTF">2019-06-15T17:14:00Z</dcterms:created>
  <dcterms:modified xsi:type="dcterms:W3CDTF">2019-07-01T14:51:00Z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