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F3312">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F3312">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F3312">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F3312">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F3312">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F3312">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F3312">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F3312">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w:t>
      </w:r>
      <w:proofErr w:type="spellStart"/>
      <w:r w:rsidR="00622BEC">
        <w:rPr>
          <w:rFonts w:ascii="Times New Roman" w:hAnsi="Times New Roman" w:cs="Times New Roman"/>
          <w:sz w:val="24"/>
          <w:szCs w:val="24"/>
        </w:rPr>
        <w:t>Byker</w:t>
      </w:r>
      <w:proofErr w:type="spellEnd"/>
      <w:r w:rsidR="00622BEC">
        <w:rPr>
          <w:rFonts w:ascii="Times New Roman" w:hAnsi="Times New Roman" w:cs="Times New Roman"/>
          <w:sz w:val="24"/>
          <w:szCs w:val="24"/>
        </w:rPr>
        <w:t xml:space="preserve">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w:t>
      </w:r>
      <w:proofErr w:type="spellStart"/>
      <w:r>
        <w:rPr>
          <w:rFonts w:ascii="Times New Roman" w:hAnsi="Times New Roman" w:cs="Times New Roman"/>
          <w:sz w:val="24"/>
          <w:szCs w:val="24"/>
        </w:rPr>
        <w:t>Byker</w:t>
      </w:r>
      <w:proofErr w:type="spellEnd"/>
      <w:r>
        <w:rPr>
          <w:rFonts w:ascii="Times New Roman" w:hAnsi="Times New Roman" w:cs="Times New Roman"/>
          <w:sz w:val="24"/>
          <w:szCs w:val="24"/>
        </w:rPr>
        <w:t xml:space="preserve">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25CF2C4B"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find that the CA-PFL doubled overall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bookmarkStart w:id="3" w:name="_GoBack"/>
      <w:bookmarkEnd w:id="3"/>
    </w:p>
    <w:p w14:paraId="212B9A2E" w14:textId="77777777" w:rsidR="00B340E6" w:rsidRPr="00EE5DCA" w:rsidRDefault="00B340E6" w:rsidP="00EE5DCA">
      <w:pPr>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 xml:space="preserve">6 to 14 weeks after birth. This corresponds with theory, as the CA-PFL stacks with California’s preexisting Temporary Disability Insurance program, which </w:t>
      </w:r>
      <w:r w:rsidR="004F2641">
        <w:rPr>
          <w:rFonts w:ascii="Times New Roman" w:hAnsi="Times New Roman" w:cs="Times New Roman"/>
          <w:sz w:val="24"/>
          <w:szCs w:val="24"/>
        </w:rPr>
        <w:lastRenderedPageBreak/>
        <w:t>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2282214"/>
      <w:r>
        <w:t>Theory</w:t>
      </w:r>
      <w:bookmarkEnd w:id="4"/>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w:t>
      </w:r>
      <w:r w:rsidR="0036055E">
        <w:rPr>
          <w:rFonts w:ascii="Times New Roman" w:hAnsi="Times New Roman" w:cs="Times New Roman"/>
          <w:sz w:val="24"/>
          <w:szCs w:val="24"/>
        </w:rPr>
        <w:lastRenderedPageBreak/>
        <w:t xml:space="preserve">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527C4E13"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w:t>
      </w:r>
      <w:r w:rsidR="00D5727D">
        <w:rPr>
          <w:rFonts w:ascii="Times New Roman" w:hAnsi="Times New Roman" w:cs="Times New Roman"/>
          <w:sz w:val="24"/>
          <w:szCs w:val="24"/>
        </w:rPr>
        <w:t xml:space="preserve">ve in the absence of a mandate. </w:t>
      </w:r>
      <w:r w:rsidR="00B61BDF">
        <w:rPr>
          <w:rFonts w:ascii="Times New Roman" w:hAnsi="Times New Roman" w:cs="Times New Roman"/>
          <w:sz w:val="24"/>
          <w:szCs w:val="24"/>
        </w:rPr>
        <w:t>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54D26B45" w14:textId="445259F5" w:rsidR="000047C6" w:rsidRDefault="000047C6" w:rsidP="00BB3B3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1</w:t>
      </w:r>
      <w:r w:rsidR="00DF3312">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2</w:t>
      </w:r>
      <w:r w:rsidR="00DF3312">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lastRenderedPageBreak/>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3</w:t>
      </w:r>
      <w:r w:rsidR="00DF3312">
        <w:rPr>
          <w:noProof/>
        </w:rPr>
        <w:fldChar w:fldCharType="end"/>
      </w:r>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lastRenderedPageBreak/>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p w14:paraId="30C76A67" w14:textId="683BDA1A"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4</w:t>
      </w:r>
      <w:r w:rsidR="00DF3312">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lastRenderedPageBreak/>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5</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Pr>
          <w:noProof/>
        </w:rPr>
        <w:t>6</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2F13185B" w:rsidR="00F15B17" w:rsidRDefault="00DF3312">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r w:rsidR="00DF3312">
        <w:fldChar w:fldCharType="begin"/>
      </w:r>
      <w:r w:rsidR="00DF3312">
        <w:instrText xml:space="preserve"> SEQ Equation \* ARABIC </w:instrText>
      </w:r>
      <w:r w:rsidR="00DF3312">
        <w:fldChar w:fldCharType="separate"/>
      </w:r>
      <w:r>
        <w:rPr>
          <w:noProof/>
        </w:rPr>
        <w:t>1</w:t>
      </w:r>
      <w:r w:rsidR="00DF3312">
        <w:rPr>
          <w:noProof/>
        </w:rPr>
        <w:fldChar w:fldCharType="end"/>
      </w:r>
    </w:p>
    <w:p w14:paraId="27077A54" w14:textId="322518EC" w:rsidR="007C6007" w:rsidRPr="007C6007" w:rsidRDefault="00DF3312"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 xml:space="preserve">is the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Bartel, A., Baum, C.,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Bartel, A. P.,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Byker</w:t>
      </w:r>
      <w:proofErr w:type="spellEnd"/>
      <w:r w:rsidRPr="00D06165">
        <w:rPr>
          <w:rFonts w:ascii="Times New Roman" w:hAnsi="Times New Roman" w:cs="Times New Roman"/>
          <w:sz w:val="24"/>
          <w:szCs w:val="24"/>
        </w:rPr>
        <w:t xml:space="preserve">,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proofErr w:type="spellStart"/>
      <w:r w:rsidRPr="00BF2885">
        <w:rPr>
          <w:rFonts w:ascii="Times New Roman" w:hAnsi="Times New Roman" w:cs="Times New Roman"/>
          <w:sz w:val="24"/>
          <w:szCs w:val="24"/>
        </w:rPr>
        <w:t>Byker</w:t>
      </w:r>
      <w:proofErr w:type="spellEnd"/>
      <w:r w:rsidRPr="00BF2885">
        <w:rPr>
          <w:rFonts w:ascii="Times New Roman" w:hAnsi="Times New Roman" w:cs="Times New Roman"/>
          <w:sz w:val="24"/>
          <w:szCs w:val="24"/>
        </w:rPr>
        <w:t>,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648F63EF"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CF7A78" w:rsidRPr="00CF7A78">
        <w:rPr>
          <w:rFonts w:ascii="Times New Roman" w:hAnsi="Times New Roman" w:cs="Times New Roman"/>
          <w:sz w:val="24"/>
          <w:szCs w:val="24"/>
        </w:rPr>
        <w:t>https://doi.org/10.1111/coep.12102</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8AB19" w14:textId="77777777" w:rsidR="00BD78A8" w:rsidRDefault="00BD78A8" w:rsidP="00D90AB6">
      <w:pPr>
        <w:spacing w:line="240" w:lineRule="auto"/>
      </w:pPr>
      <w:r>
        <w:separator/>
      </w:r>
    </w:p>
  </w:endnote>
  <w:endnote w:type="continuationSeparator" w:id="0">
    <w:p w14:paraId="735E729C" w14:textId="77777777" w:rsidR="00BD78A8" w:rsidRDefault="00BD78A8"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C74DE" w14:textId="77777777" w:rsidR="00BD78A8" w:rsidRDefault="00BD78A8" w:rsidP="00D90AB6">
      <w:pPr>
        <w:spacing w:line="240" w:lineRule="auto"/>
      </w:pPr>
      <w:r>
        <w:separator/>
      </w:r>
    </w:p>
  </w:footnote>
  <w:footnote w:type="continuationSeparator" w:id="0">
    <w:p w14:paraId="123E330E" w14:textId="77777777" w:rsidR="00BD78A8" w:rsidRDefault="00BD78A8"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0D130565" w:rsidR="00DF3312" w:rsidRDefault="00DF3312">
        <w:pPr>
          <w:pStyle w:val="Header"/>
          <w:jc w:val="right"/>
        </w:pPr>
        <w:r>
          <w:fldChar w:fldCharType="begin"/>
        </w:r>
        <w:r>
          <w:instrText xml:space="preserve"> PAGE   \* MERGEFORMAT </w:instrText>
        </w:r>
        <w:r>
          <w:fldChar w:fldCharType="separate"/>
        </w:r>
        <w:r w:rsidR="000B41A2">
          <w:rPr>
            <w:noProof/>
          </w:rPr>
          <w:t>2</w:t>
        </w:r>
        <w:r>
          <w:rPr>
            <w:noProof/>
          </w:rPr>
          <w:fldChar w:fldCharType="end"/>
        </w:r>
      </w:p>
    </w:sdtContent>
  </w:sdt>
  <w:p w14:paraId="6C1D876D" w14:textId="77777777" w:rsidR="00DF3312" w:rsidRDefault="00DF3312"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B41A2"/>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92FCA"/>
    <w:rsid w:val="001A3527"/>
    <w:rsid w:val="001C1680"/>
    <w:rsid w:val="001D2292"/>
    <w:rsid w:val="001E4926"/>
    <w:rsid w:val="001F1B1D"/>
    <w:rsid w:val="00201C53"/>
    <w:rsid w:val="002169FA"/>
    <w:rsid w:val="0022180C"/>
    <w:rsid w:val="00257213"/>
    <w:rsid w:val="00271880"/>
    <w:rsid w:val="00285189"/>
    <w:rsid w:val="00291B60"/>
    <w:rsid w:val="002972A4"/>
    <w:rsid w:val="002A43CB"/>
    <w:rsid w:val="002B7B4D"/>
    <w:rsid w:val="002C4C57"/>
    <w:rsid w:val="002D380B"/>
    <w:rsid w:val="002D3892"/>
    <w:rsid w:val="002F6DBB"/>
    <w:rsid w:val="00302287"/>
    <w:rsid w:val="00302A19"/>
    <w:rsid w:val="003042EE"/>
    <w:rsid w:val="00306539"/>
    <w:rsid w:val="00341D00"/>
    <w:rsid w:val="00344D43"/>
    <w:rsid w:val="003462A9"/>
    <w:rsid w:val="00347F92"/>
    <w:rsid w:val="0036055E"/>
    <w:rsid w:val="003A731B"/>
    <w:rsid w:val="003B2672"/>
    <w:rsid w:val="003C40BC"/>
    <w:rsid w:val="003C41AF"/>
    <w:rsid w:val="003D7720"/>
    <w:rsid w:val="003E50FA"/>
    <w:rsid w:val="003E721B"/>
    <w:rsid w:val="0040538B"/>
    <w:rsid w:val="00416675"/>
    <w:rsid w:val="00433F5A"/>
    <w:rsid w:val="00434602"/>
    <w:rsid w:val="004372F2"/>
    <w:rsid w:val="00472F66"/>
    <w:rsid w:val="00474B03"/>
    <w:rsid w:val="004B6037"/>
    <w:rsid w:val="004B66D9"/>
    <w:rsid w:val="004C2881"/>
    <w:rsid w:val="004C3C9B"/>
    <w:rsid w:val="004C4D23"/>
    <w:rsid w:val="004C6AF9"/>
    <w:rsid w:val="004D06FC"/>
    <w:rsid w:val="004E615D"/>
    <w:rsid w:val="004F2641"/>
    <w:rsid w:val="004F4747"/>
    <w:rsid w:val="004F6585"/>
    <w:rsid w:val="00524DEB"/>
    <w:rsid w:val="00534256"/>
    <w:rsid w:val="00537362"/>
    <w:rsid w:val="00546322"/>
    <w:rsid w:val="005528DC"/>
    <w:rsid w:val="00566045"/>
    <w:rsid w:val="005669E9"/>
    <w:rsid w:val="00571465"/>
    <w:rsid w:val="0058002E"/>
    <w:rsid w:val="00595038"/>
    <w:rsid w:val="005A2A43"/>
    <w:rsid w:val="005B6863"/>
    <w:rsid w:val="005C02DD"/>
    <w:rsid w:val="005C096A"/>
    <w:rsid w:val="005D1B7F"/>
    <w:rsid w:val="005F0BE4"/>
    <w:rsid w:val="005F4DAC"/>
    <w:rsid w:val="005F52F4"/>
    <w:rsid w:val="00622BEC"/>
    <w:rsid w:val="0062561D"/>
    <w:rsid w:val="006263F2"/>
    <w:rsid w:val="0063466F"/>
    <w:rsid w:val="00637137"/>
    <w:rsid w:val="006458B7"/>
    <w:rsid w:val="00663461"/>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608"/>
    <w:rsid w:val="00744A5E"/>
    <w:rsid w:val="007502F2"/>
    <w:rsid w:val="007516A9"/>
    <w:rsid w:val="00751BD5"/>
    <w:rsid w:val="007775E3"/>
    <w:rsid w:val="00777D08"/>
    <w:rsid w:val="00781D4E"/>
    <w:rsid w:val="007C6007"/>
    <w:rsid w:val="007D17C6"/>
    <w:rsid w:val="007E2EC6"/>
    <w:rsid w:val="007F7A34"/>
    <w:rsid w:val="008110E2"/>
    <w:rsid w:val="00814016"/>
    <w:rsid w:val="0084613D"/>
    <w:rsid w:val="00854614"/>
    <w:rsid w:val="008616A9"/>
    <w:rsid w:val="00861DD6"/>
    <w:rsid w:val="008620A5"/>
    <w:rsid w:val="00865245"/>
    <w:rsid w:val="0087319A"/>
    <w:rsid w:val="00874D1C"/>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87A7C"/>
    <w:rsid w:val="00A93397"/>
    <w:rsid w:val="00AC3E2F"/>
    <w:rsid w:val="00AC75C6"/>
    <w:rsid w:val="00AD0E9B"/>
    <w:rsid w:val="00AE475A"/>
    <w:rsid w:val="00AF6473"/>
    <w:rsid w:val="00B21CB0"/>
    <w:rsid w:val="00B23D0C"/>
    <w:rsid w:val="00B340E6"/>
    <w:rsid w:val="00B369DF"/>
    <w:rsid w:val="00B606A1"/>
    <w:rsid w:val="00B61BDF"/>
    <w:rsid w:val="00B6293E"/>
    <w:rsid w:val="00B67AAF"/>
    <w:rsid w:val="00B72DA6"/>
    <w:rsid w:val="00B94CA4"/>
    <w:rsid w:val="00B953F2"/>
    <w:rsid w:val="00B95D5E"/>
    <w:rsid w:val="00BB3B3F"/>
    <w:rsid w:val="00BB661D"/>
    <w:rsid w:val="00BC2FE3"/>
    <w:rsid w:val="00BD78A8"/>
    <w:rsid w:val="00BE21C5"/>
    <w:rsid w:val="00BE3F45"/>
    <w:rsid w:val="00BF10F8"/>
    <w:rsid w:val="00BF2885"/>
    <w:rsid w:val="00C33B74"/>
    <w:rsid w:val="00C50D65"/>
    <w:rsid w:val="00C52EF0"/>
    <w:rsid w:val="00C53333"/>
    <w:rsid w:val="00C60702"/>
    <w:rsid w:val="00C92D9D"/>
    <w:rsid w:val="00C967EC"/>
    <w:rsid w:val="00C970AF"/>
    <w:rsid w:val="00CD56EC"/>
    <w:rsid w:val="00CF4F77"/>
    <w:rsid w:val="00CF572E"/>
    <w:rsid w:val="00CF7A78"/>
    <w:rsid w:val="00D06165"/>
    <w:rsid w:val="00D109C9"/>
    <w:rsid w:val="00D155E9"/>
    <w:rsid w:val="00D255E4"/>
    <w:rsid w:val="00D32D9F"/>
    <w:rsid w:val="00D358AC"/>
    <w:rsid w:val="00D56DC5"/>
    <w:rsid w:val="00D5727D"/>
    <w:rsid w:val="00D75716"/>
    <w:rsid w:val="00D7684F"/>
    <w:rsid w:val="00D818D7"/>
    <w:rsid w:val="00D821A2"/>
    <w:rsid w:val="00D90AB6"/>
    <w:rsid w:val="00DA4EE0"/>
    <w:rsid w:val="00DB0DF6"/>
    <w:rsid w:val="00DB426A"/>
    <w:rsid w:val="00DC4B63"/>
    <w:rsid w:val="00DC5455"/>
    <w:rsid w:val="00DD66A8"/>
    <w:rsid w:val="00DF16C9"/>
    <w:rsid w:val="00DF3312"/>
    <w:rsid w:val="00DF779E"/>
    <w:rsid w:val="00E16C18"/>
    <w:rsid w:val="00E22FB6"/>
    <w:rsid w:val="00E261F4"/>
    <w:rsid w:val="00E263E4"/>
    <w:rsid w:val="00E554F7"/>
    <w:rsid w:val="00E87563"/>
    <w:rsid w:val="00EA5C64"/>
    <w:rsid w:val="00EA6D7A"/>
    <w:rsid w:val="00EB1C75"/>
    <w:rsid w:val="00EC494C"/>
    <w:rsid w:val="00EE5DCA"/>
    <w:rsid w:val="00EF60FB"/>
    <w:rsid w:val="00F071F9"/>
    <w:rsid w:val="00F12B90"/>
    <w:rsid w:val="00F15B17"/>
    <w:rsid w:val="00F22B57"/>
    <w:rsid w:val="00F75E33"/>
    <w:rsid w:val="00F82A1C"/>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DF5B-D5C2-445A-A86A-4AA2A66A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16</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138</cp:revision>
  <dcterms:created xsi:type="dcterms:W3CDTF">2019-06-15T17:14:00Z</dcterms:created>
  <dcterms:modified xsi:type="dcterms:W3CDTF">2019-06-26T14:55:00Z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