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1559932987"/>
        <w:docPartObj>
          <w:docPartGallery w:val="Table of Contents"/>
          <w:docPartUnique/>
        </w:docPartObj>
      </w:sdtPr>
      <w:sdtEndPr>
        <w:rPr>
          <w:rFonts w:asciiTheme="minorHAnsi" w:eastAsiaTheme="minorHAnsi" w:hAnsiTheme="minorHAnsi" w:cstheme="minorBidi"/>
          <w:b/>
          <w:bCs/>
          <w:noProof/>
          <w:sz w:val="22"/>
          <w:szCs w:val="22"/>
        </w:rPr>
      </w:sdtEndPr>
      <w:sdtContent>
        <w:p w14:paraId="4E3427D0" w14:textId="6274ABAA" w:rsidR="004C3C9B" w:rsidRDefault="004C3C9B">
          <w:pPr>
            <w:pStyle w:val="TOCHeading"/>
            <w:rPr>
              <w:color w:val="auto"/>
            </w:rPr>
          </w:pPr>
          <w:r w:rsidRPr="006D3C22">
            <w:rPr>
              <w:color w:val="auto"/>
            </w:rPr>
            <w:t>Table of Conte</w:t>
          </w:r>
          <w:bookmarkStart w:id="0" w:name="_GoBack"/>
          <w:bookmarkEnd w:id="0"/>
          <w:r w:rsidRPr="006D3C22">
            <w:rPr>
              <w:color w:val="auto"/>
            </w:rPr>
            <w:t>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6D3C22">
          <w:pPr>
            <w:pStyle w:val="TOC1"/>
            <w:tabs>
              <w:tab w:val="right" w:leader="dot" w:pos="9350"/>
            </w:tabs>
            <w:rPr>
              <w:rFonts w:eastAsiaTheme="minorEastAsia"/>
              <w:noProof/>
            </w:rPr>
          </w:pPr>
          <w:hyperlink w:anchor="_Toc12282212" w:history="1">
            <w:r w:rsidRPr="003E4798">
              <w:rPr>
                <w:rStyle w:val="Hyperlink"/>
                <w:noProof/>
              </w:rPr>
              <w:t>Policy Landscape</w:t>
            </w:r>
            <w:r>
              <w:rPr>
                <w:noProof/>
                <w:webHidden/>
              </w:rPr>
              <w:tab/>
            </w:r>
            <w:r>
              <w:rPr>
                <w:noProof/>
                <w:webHidden/>
              </w:rPr>
              <w:fldChar w:fldCharType="begin"/>
            </w:r>
            <w:r>
              <w:rPr>
                <w:noProof/>
                <w:webHidden/>
              </w:rPr>
              <w:instrText xml:space="preserve"> PAGEREF _Toc12282212 \h </w:instrText>
            </w:r>
            <w:r>
              <w:rPr>
                <w:noProof/>
                <w:webHidden/>
              </w:rPr>
            </w:r>
            <w:r>
              <w:rPr>
                <w:noProof/>
                <w:webHidden/>
              </w:rPr>
              <w:fldChar w:fldCharType="separate"/>
            </w:r>
            <w:r>
              <w:rPr>
                <w:noProof/>
                <w:webHidden/>
              </w:rPr>
              <w:t>1</w:t>
            </w:r>
            <w:r>
              <w:rPr>
                <w:noProof/>
                <w:webHidden/>
              </w:rPr>
              <w:fldChar w:fldCharType="end"/>
            </w:r>
          </w:hyperlink>
        </w:p>
        <w:p w14:paraId="59D4AF89" w14:textId="6E70D9CC" w:rsidR="006D3C22" w:rsidRDefault="006D3C22">
          <w:pPr>
            <w:pStyle w:val="TOC1"/>
            <w:tabs>
              <w:tab w:val="right" w:leader="dot" w:pos="9350"/>
            </w:tabs>
            <w:rPr>
              <w:rFonts w:eastAsiaTheme="minorEastAsia"/>
              <w:noProof/>
            </w:rPr>
          </w:pPr>
          <w:hyperlink w:anchor="_Toc12282213" w:history="1">
            <w:r w:rsidRPr="003E4798">
              <w:rPr>
                <w:rStyle w:val="Hyperlink"/>
                <w:noProof/>
              </w:rPr>
              <w:t>Literature Review</w:t>
            </w:r>
            <w:r>
              <w:rPr>
                <w:noProof/>
                <w:webHidden/>
              </w:rPr>
              <w:tab/>
            </w:r>
            <w:r>
              <w:rPr>
                <w:noProof/>
                <w:webHidden/>
              </w:rPr>
              <w:fldChar w:fldCharType="begin"/>
            </w:r>
            <w:r>
              <w:rPr>
                <w:noProof/>
                <w:webHidden/>
              </w:rPr>
              <w:instrText xml:space="preserve"> PAGEREF _Toc12282213 \h </w:instrText>
            </w:r>
            <w:r>
              <w:rPr>
                <w:noProof/>
                <w:webHidden/>
              </w:rPr>
            </w:r>
            <w:r>
              <w:rPr>
                <w:noProof/>
                <w:webHidden/>
              </w:rPr>
              <w:fldChar w:fldCharType="separate"/>
            </w:r>
            <w:r>
              <w:rPr>
                <w:noProof/>
                <w:webHidden/>
              </w:rPr>
              <w:t>2</w:t>
            </w:r>
            <w:r>
              <w:rPr>
                <w:noProof/>
                <w:webHidden/>
              </w:rPr>
              <w:fldChar w:fldCharType="end"/>
            </w:r>
          </w:hyperlink>
        </w:p>
        <w:p w14:paraId="4F5EFC67" w14:textId="322CD775" w:rsidR="006D3C22" w:rsidRDefault="006D3C22">
          <w:pPr>
            <w:pStyle w:val="TOC1"/>
            <w:tabs>
              <w:tab w:val="right" w:leader="dot" w:pos="9350"/>
            </w:tabs>
            <w:rPr>
              <w:rFonts w:eastAsiaTheme="minorEastAsia"/>
              <w:noProof/>
            </w:rPr>
          </w:pPr>
          <w:hyperlink w:anchor="_Toc12282214" w:history="1">
            <w:r w:rsidRPr="003E4798">
              <w:rPr>
                <w:rStyle w:val="Hyperlink"/>
                <w:noProof/>
              </w:rPr>
              <w:t>Theory</w:t>
            </w:r>
            <w:r>
              <w:rPr>
                <w:noProof/>
                <w:webHidden/>
              </w:rPr>
              <w:tab/>
            </w:r>
            <w:r>
              <w:rPr>
                <w:noProof/>
                <w:webHidden/>
              </w:rPr>
              <w:fldChar w:fldCharType="begin"/>
            </w:r>
            <w:r>
              <w:rPr>
                <w:noProof/>
                <w:webHidden/>
              </w:rPr>
              <w:instrText xml:space="preserve"> PAGEREF _Toc12282214 \h </w:instrText>
            </w:r>
            <w:r>
              <w:rPr>
                <w:noProof/>
                <w:webHidden/>
              </w:rPr>
            </w:r>
            <w:r>
              <w:rPr>
                <w:noProof/>
                <w:webHidden/>
              </w:rPr>
              <w:fldChar w:fldCharType="separate"/>
            </w:r>
            <w:r>
              <w:rPr>
                <w:noProof/>
                <w:webHidden/>
              </w:rPr>
              <w:t>3</w:t>
            </w:r>
            <w:r>
              <w:rPr>
                <w:noProof/>
                <w:webHidden/>
              </w:rPr>
              <w:fldChar w:fldCharType="end"/>
            </w:r>
          </w:hyperlink>
        </w:p>
        <w:p w14:paraId="0A05C8E6" w14:textId="0ECFB2E7" w:rsidR="006D3C22" w:rsidRDefault="006D3C22">
          <w:pPr>
            <w:pStyle w:val="TOC1"/>
            <w:tabs>
              <w:tab w:val="right" w:leader="dot" w:pos="9350"/>
            </w:tabs>
            <w:rPr>
              <w:rFonts w:eastAsiaTheme="minorEastAsia"/>
              <w:noProof/>
            </w:rPr>
          </w:pPr>
          <w:hyperlink w:anchor="_Toc12282215" w:history="1">
            <w:r w:rsidRPr="003E4798">
              <w:rPr>
                <w:rStyle w:val="Hyperlink"/>
                <w:noProof/>
              </w:rPr>
              <w:t>Data</w:t>
            </w:r>
            <w:r>
              <w:rPr>
                <w:noProof/>
                <w:webHidden/>
              </w:rPr>
              <w:tab/>
            </w:r>
            <w:r>
              <w:rPr>
                <w:noProof/>
                <w:webHidden/>
              </w:rPr>
              <w:fldChar w:fldCharType="begin"/>
            </w:r>
            <w:r>
              <w:rPr>
                <w:noProof/>
                <w:webHidden/>
              </w:rPr>
              <w:instrText xml:space="preserve"> PAGEREF _Toc12282215 \h </w:instrText>
            </w:r>
            <w:r>
              <w:rPr>
                <w:noProof/>
                <w:webHidden/>
              </w:rPr>
            </w:r>
            <w:r>
              <w:rPr>
                <w:noProof/>
                <w:webHidden/>
              </w:rPr>
              <w:fldChar w:fldCharType="separate"/>
            </w:r>
            <w:r>
              <w:rPr>
                <w:noProof/>
                <w:webHidden/>
              </w:rPr>
              <w:t>3</w:t>
            </w:r>
            <w:r>
              <w:rPr>
                <w:noProof/>
                <w:webHidden/>
              </w:rPr>
              <w:fldChar w:fldCharType="end"/>
            </w:r>
          </w:hyperlink>
        </w:p>
        <w:p w14:paraId="1AF8CBFD" w14:textId="394F43AB" w:rsidR="006D3C22" w:rsidRDefault="006D3C22">
          <w:pPr>
            <w:pStyle w:val="TOC1"/>
            <w:tabs>
              <w:tab w:val="right" w:leader="dot" w:pos="9350"/>
            </w:tabs>
            <w:rPr>
              <w:rFonts w:eastAsiaTheme="minorEastAsia"/>
              <w:noProof/>
            </w:rPr>
          </w:pPr>
          <w:hyperlink w:anchor="_Toc12282216" w:history="1">
            <w:r w:rsidRPr="003E4798">
              <w:rPr>
                <w:rStyle w:val="Hyperlink"/>
                <w:noProof/>
              </w:rPr>
              <w:t>Methodology</w:t>
            </w:r>
            <w:r>
              <w:rPr>
                <w:noProof/>
                <w:webHidden/>
              </w:rPr>
              <w:tab/>
            </w:r>
            <w:r>
              <w:rPr>
                <w:noProof/>
                <w:webHidden/>
              </w:rPr>
              <w:fldChar w:fldCharType="begin"/>
            </w:r>
            <w:r>
              <w:rPr>
                <w:noProof/>
                <w:webHidden/>
              </w:rPr>
              <w:instrText xml:space="preserve"> PAGEREF _Toc12282216 \h </w:instrText>
            </w:r>
            <w:r>
              <w:rPr>
                <w:noProof/>
                <w:webHidden/>
              </w:rPr>
            </w:r>
            <w:r>
              <w:rPr>
                <w:noProof/>
                <w:webHidden/>
              </w:rPr>
              <w:fldChar w:fldCharType="separate"/>
            </w:r>
            <w:r>
              <w:rPr>
                <w:noProof/>
                <w:webHidden/>
              </w:rPr>
              <w:t>7</w:t>
            </w:r>
            <w:r>
              <w:rPr>
                <w:noProof/>
                <w:webHidden/>
              </w:rPr>
              <w:fldChar w:fldCharType="end"/>
            </w:r>
          </w:hyperlink>
        </w:p>
        <w:p w14:paraId="55B677BC" w14:textId="246EEA02" w:rsidR="006D3C22" w:rsidRDefault="006D3C22">
          <w:pPr>
            <w:pStyle w:val="TOC1"/>
            <w:tabs>
              <w:tab w:val="right" w:leader="dot" w:pos="9350"/>
            </w:tabs>
            <w:rPr>
              <w:rFonts w:eastAsiaTheme="minorEastAsia"/>
              <w:noProof/>
            </w:rPr>
          </w:pPr>
          <w:hyperlink w:anchor="_Toc12282217" w:history="1">
            <w:r w:rsidRPr="003E4798">
              <w:rPr>
                <w:rStyle w:val="Hyperlink"/>
                <w:noProof/>
              </w:rPr>
              <w:t>Results</w:t>
            </w:r>
            <w:r>
              <w:rPr>
                <w:noProof/>
                <w:webHidden/>
              </w:rPr>
              <w:tab/>
            </w:r>
            <w:r>
              <w:rPr>
                <w:noProof/>
                <w:webHidden/>
              </w:rPr>
              <w:fldChar w:fldCharType="begin"/>
            </w:r>
            <w:r>
              <w:rPr>
                <w:noProof/>
                <w:webHidden/>
              </w:rPr>
              <w:instrText xml:space="preserve"> PAGEREF _Toc12282217 \h </w:instrText>
            </w:r>
            <w:r>
              <w:rPr>
                <w:noProof/>
                <w:webHidden/>
              </w:rPr>
            </w:r>
            <w:r>
              <w:rPr>
                <w:noProof/>
                <w:webHidden/>
              </w:rPr>
              <w:fldChar w:fldCharType="separate"/>
            </w:r>
            <w:r>
              <w:rPr>
                <w:noProof/>
                <w:webHidden/>
              </w:rPr>
              <w:t>8</w:t>
            </w:r>
            <w:r>
              <w:rPr>
                <w:noProof/>
                <w:webHidden/>
              </w:rPr>
              <w:fldChar w:fldCharType="end"/>
            </w:r>
          </w:hyperlink>
        </w:p>
        <w:p w14:paraId="541C446F" w14:textId="1E0DB6A2" w:rsidR="006D3C22" w:rsidRDefault="006D3C22">
          <w:pPr>
            <w:pStyle w:val="TOC1"/>
            <w:tabs>
              <w:tab w:val="right" w:leader="dot" w:pos="9350"/>
            </w:tabs>
            <w:rPr>
              <w:rFonts w:eastAsiaTheme="minorEastAsia"/>
              <w:noProof/>
            </w:rPr>
          </w:pPr>
          <w:hyperlink w:anchor="_Toc12282218" w:history="1">
            <w:r w:rsidRPr="003E4798">
              <w:rPr>
                <w:rStyle w:val="Hyperlink"/>
                <w:noProof/>
              </w:rPr>
              <w:t>Discussion</w:t>
            </w:r>
            <w:r>
              <w:rPr>
                <w:noProof/>
                <w:webHidden/>
              </w:rPr>
              <w:tab/>
            </w:r>
            <w:r>
              <w:rPr>
                <w:noProof/>
                <w:webHidden/>
              </w:rPr>
              <w:fldChar w:fldCharType="begin"/>
            </w:r>
            <w:r>
              <w:rPr>
                <w:noProof/>
                <w:webHidden/>
              </w:rPr>
              <w:instrText xml:space="preserve"> PAGEREF _Toc12282218 \h </w:instrText>
            </w:r>
            <w:r>
              <w:rPr>
                <w:noProof/>
                <w:webHidden/>
              </w:rPr>
            </w:r>
            <w:r>
              <w:rPr>
                <w:noProof/>
                <w:webHidden/>
              </w:rPr>
              <w:fldChar w:fldCharType="separate"/>
            </w:r>
            <w:r>
              <w:rPr>
                <w:noProof/>
                <w:webHidden/>
              </w:rPr>
              <w:t>13</w:t>
            </w:r>
            <w:r>
              <w:rPr>
                <w:noProof/>
                <w:webHidden/>
              </w:rPr>
              <w:fldChar w:fldCharType="end"/>
            </w:r>
          </w:hyperlink>
        </w:p>
        <w:p w14:paraId="5B7A27B2" w14:textId="436EB6BE" w:rsidR="006D3C22" w:rsidRDefault="006D3C22">
          <w:pPr>
            <w:pStyle w:val="TOC1"/>
            <w:tabs>
              <w:tab w:val="right" w:leader="dot" w:pos="9350"/>
            </w:tabs>
            <w:rPr>
              <w:rFonts w:eastAsiaTheme="minorEastAsia"/>
              <w:noProof/>
            </w:rPr>
          </w:pPr>
          <w:hyperlink w:anchor="_Toc12282219" w:history="1">
            <w:r w:rsidRPr="003E4798">
              <w:rPr>
                <w:rStyle w:val="Hyperlink"/>
                <w:noProof/>
              </w:rPr>
              <w:t>Limitations</w:t>
            </w:r>
            <w:r>
              <w:rPr>
                <w:noProof/>
                <w:webHidden/>
              </w:rPr>
              <w:tab/>
            </w:r>
            <w:r>
              <w:rPr>
                <w:noProof/>
                <w:webHidden/>
              </w:rPr>
              <w:fldChar w:fldCharType="begin"/>
            </w:r>
            <w:r>
              <w:rPr>
                <w:noProof/>
                <w:webHidden/>
              </w:rPr>
              <w:instrText xml:space="preserve"> PAGEREF _Toc12282219 \h </w:instrText>
            </w:r>
            <w:r>
              <w:rPr>
                <w:noProof/>
                <w:webHidden/>
              </w:rPr>
            </w:r>
            <w:r>
              <w:rPr>
                <w:noProof/>
                <w:webHidden/>
              </w:rPr>
              <w:fldChar w:fldCharType="separate"/>
            </w:r>
            <w:r>
              <w:rPr>
                <w:noProof/>
                <w:webHidden/>
              </w:rPr>
              <w:t>14</w:t>
            </w:r>
            <w:r>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1" w:name="_Toc12282211"/>
      <w:r>
        <w:t>Introduction</w:t>
      </w:r>
      <w:bookmarkEnd w:id="1"/>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069641FE"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ing of the gender earnings gap. This study investigates the impact of paid family leave policies on labor-market outcomes.</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2" w:name="_Toc12282212"/>
      <w:r w:rsidRPr="00474B03">
        <w:t>Policy Landscape</w:t>
      </w:r>
      <w:bookmarkEnd w:id="2"/>
    </w:p>
    <w:p w14:paraId="6AC6B5FD" w14:textId="77777777" w:rsidR="009F39EF" w:rsidRDefault="009F39EF" w:rsidP="0062561D">
      <w:pPr>
        <w:contextualSpacing/>
        <w:rPr>
          <w:rFonts w:ascii="Times New Roman" w:hAnsi="Times New Roman" w:cs="Times New Roman"/>
          <w:sz w:val="24"/>
          <w:szCs w:val="24"/>
        </w:rPr>
      </w:pPr>
    </w:p>
    <w:p w14:paraId="644092AF" w14:textId="6DB34476"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contextualSpacing/>
        <w:rPr>
          <w:rFonts w:ascii="Times New Roman" w:hAnsi="Times New Roman" w:cs="Times New Roman"/>
          <w:sz w:val="24"/>
          <w:szCs w:val="24"/>
        </w:rPr>
      </w:pPr>
    </w:p>
    <w:p w14:paraId="18EA5729" w14:textId="467EF80F" w:rsidR="00AD0E9B"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contextualSpacing/>
        <w:rPr>
          <w:rFonts w:ascii="Times New Roman" w:hAnsi="Times New Roman" w:cs="Times New Roman"/>
          <w:sz w:val="24"/>
          <w:szCs w:val="24"/>
        </w:rPr>
      </w:pPr>
    </w:p>
    <w:p w14:paraId="3A92BA49" w14:textId="77777777" w:rsidR="00AD0E9B"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3" w:name="_Toc12282213"/>
      <w:r w:rsidRPr="004C3C9B">
        <w:t>Literature Review</w:t>
      </w:r>
      <w:bookmarkEnd w:id="3"/>
    </w:p>
    <w:p w14:paraId="568784E6" w14:textId="61CFEF3F" w:rsidR="00F15B17" w:rsidRDefault="00F15B17" w:rsidP="0062561D">
      <w:pPr>
        <w:contextualSpacing/>
        <w:rPr>
          <w:rFonts w:ascii="Times New Roman" w:hAnsi="Times New Roman" w:cs="Times New Roman"/>
          <w:sz w:val="24"/>
          <w:szCs w:val="24"/>
        </w:rPr>
      </w:pPr>
    </w:p>
    <w:p w14:paraId="28024B64" w14:textId="005A444A" w:rsidR="00EE5DCA" w:rsidRDefault="00EE5DCA" w:rsidP="00EE5DCA">
      <w:pPr>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4" w:name="_Toc12282214"/>
      <w:r>
        <w:t>Theory</w:t>
      </w:r>
      <w:bookmarkEnd w:id="4"/>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68EBA742"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p>
    <w:p w14:paraId="337C8165" w14:textId="4A7CC12E" w:rsidR="00777D08" w:rsidRDefault="00777D08">
      <w:pPr>
        <w:contextualSpacing/>
        <w:rPr>
          <w:rFonts w:ascii="Times New Roman" w:hAnsi="Times New Roman" w:cs="Times New Roman"/>
          <w:sz w:val="24"/>
          <w:szCs w:val="24"/>
        </w:rPr>
      </w:pPr>
    </w:p>
    <w:p w14:paraId="2F0BD21C" w14:textId="1B48B7EB" w:rsidR="00777D08" w:rsidRDefault="00777D08">
      <w:pPr>
        <w:contextualSpacing/>
        <w:rPr>
          <w:rFonts w:ascii="Times New Roman" w:hAnsi="Times New Roman" w:cs="Times New Roman"/>
          <w:sz w:val="24"/>
          <w:szCs w:val="24"/>
        </w:rPr>
      </w:pPr>
      <w:r>
        <w:rPr>
          <w:rFonts w:ascii="Times New Roman" w:hAnsi="Times New Roman" w:cs="Times New Roman"/>
          <w:sz w:val="24"/>
          <w:szCs w:val="24"/>
        </w:rPr>
        <w:tab/>
        <w:t xml:space="preserve">Although I do not know which characteristics are most important for observing these differential effects, I hypothesize that education and type of work are significant factors. I therefore divide the sample into college educated and non-college educated women, as well as blue-collar workers and white-collar workers. On the basis that workers without college degrees and blue-collar workers </w:t>
      </w:r>
      <w:r w:rsidR="00B61BDF">
        <w:rPr>
          <w:rFonts w:ascii="Times New Roman" w:hAnsi="Times New Roman" w:cs="Times New Roman"/>
          <w:sz w:val="24"/>
          <w:szCs w:val="24"/>
        </w:rPr>
        <w:t>have less access to employer offered paid family leave in the absence of a mandate, I run the difference-in-difference regressions on each of these subgroups as well as the full sample.</w:t>
      </w:r>
      <w:r w:rsidR="00C33B74">
        <w:rPr>
          <w:rFonts w:ascii="Times New Roman" w:hAnsi="Times New Roman" w:cs="Times New Roman"/>
          <w:sz w:val="24"/>
          <w:szCs w:val="24"/>
        </w:rPr>
        <w:t xml:space="preserve"> </w:t>
      </w:r>
    </w:p>
    <w:p w14:paraId="14CE9A2C" w14:textId="38583B59" w:rsidR="00D358AC" w:rsidRDefault="00D358AC">
      <w:pPr>
        <w:contextualSpacing/>
        <w:rPr>
          <w:rFonts w:ascii="Times New Roman" w:hAnsi="Times New Roman" w:cs="Times New Roman"/>
          <w:sz w:val="24"/>
          <w:szCs w:val="24"/>
        </w:rPr>
      </w:pPr>
    </w:p>
    <w:p w14:paraId="2BE99F06" w14:textId="77777777" w:rsidR="00723F1C" w:rsidRDefault="00723F1C">
      <w:pPr>
        <w:contextualSpacing/>
        <w:rPr>
          <w:rFonts w:ascii="Times New Roman" w:hAnsi="Times New Roman" w:cs="Times New Roman"/>
          <w:sz w:val="24"/>
          <w:szCs w:val="24"/>
        </w:rPr>
      </w:pPr>
    </w:p>
    <w:p w14:paraId="3D295645" w14:textId="516839CB" w:rsidR="00E554F7" w:rsidRDefault="00A6763E" w:rsidP="004C3C9B">
      <w:pPr>
        <w:pStyle w:val="thesisheader"/>
      </w:pPr>
      <w:bookmarkStart w:id="5" w:name="_Toc12282215"/>
      <w:r>
        <w:t>Data</w:t>
      </w:r>
      <w:bookmarkEnd w:id="5"/>
    </w:p>
    <w:p w14:paraId="4B42557A" w14:textId="408ECEF2" w:rsidR="00E554F7" w:rsidRPr="00E554F7" w:rsidRDefault="00E554F7">
      <w:pPr>
        <w:contextualSpacing/>
        <w:rPr>
          <w:rFonts w:ascii="Times New Roman" w:hAnsi="Times New Roman" w:cs="Times New Roman"/>
          <w:sz w:val="24"/>
          <w:szCs w:val="24"/>
        </w:rPr>
      </w:pPr>
    </w:p>
    <w:p w14:paraId="54D26B45" w14:textId="08ECF97B"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lastRenderedPageBreak/>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w:t>
      </w:r>
      <w:r w:rsidR="00344D43">
        <w:rPr>
          <w:rFonts w:ascii="Times New Roman" w:hAnsi="Times New Roman" w:cs="Times New Roman"/>
          <w:sz w:val="24"/>
          <w:szCs w:val="24"/>
        </w:rPr>
        <w:lastRenderedPageBreak/>
        <w:t xml:space="preserve">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lastRenderedPageBreak/>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3FCCC920" w14:textId="6F6C0358"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777D08"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680CD26B" w14:textId="33AC3D51" w:rsidR="00814016" w:rsidRDefault="00814016" w:rsidP="00814016">
      <w:pPr>
        <w:pStyle w:val="Caption"/>
        <w:keepNext/>
        <w:spacing w:after="0"/>
        <w:jc w:val="center"/>
      </w:pPr>
      <w:r>
        <w:t xml:space="preserve">Equation </w:t>
      </w:r>
      <w:fldSimple w:instr=" SEQ Equation \* ARABIC ">
        <w:r>
          <w:rPr>
            <w:noProof/>
          </w:rPr>
          <w:t>1</w:t>
        </w:r>
      </w:fldSimple>
    </w:p>
    <w:p w14:paraId="1D4C00EF" w14:textId="3CC998E9" w:rsidR="003C41AF" w:rsidRPr="002169FA" w:rsidRDefault="00777D08">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+β Policy+</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465C671A" w14:textId="273CA623" w:rsidR="00537362"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5152C97C" w14:textId="5B23321D" w:rsidR="00814016" w:rsidRDefault="00814016" w:rsidP="00814016">
      <w:pPr>
        <w:pStyle w:val="Caption"/>
        <w:keepNext/>
        <w:spacing w:after="0"/>
        <w:jc w:val="center"/>
      </w:pPr>
      <w:r>
        <w:t xml:space="preserve">Equation </w:t>
      </w:r>
      <w:fldSimple w:instr=" SEQ Equation \* ARABIC ">
        <w:r>
          <w:rPr>
            <w:noProof/>
          </w:rPr>
          <w:t>2</w:t>
        </w:r>
      </w:fldSimple>
    </w:p>
    <w:p w14:paraId="3EB70651" w14:textId="094154EE" w:rsidR="00537362" w:rsidRPr="00161FD9" w:rsidRDefault="00777D08">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055F40DD" w14:textId="437CBA2D" w:rsidR="00814016" w:rsidRDefault="00814016" w:rsidP="00814016">
      <w:pPr>
        <w:pStyle w:val="Caption"/>
        <w:keepNext/>
        <w:spacing w:after="0"/>
        <w:jc w:val="center"/>
      </w:pPr>
      <w:r>
        <w:t xml:space="preserve">Equation </w:t>
      </w:r>
      <w:fldSimple w:instr=" SEQ Equation \* ARABIC ">
        <w:r>
          <w:rPr>
            <w:noProof/>
          </w:rPr>
          <w:t>3</w:t>
        </w:r>
      </w:fldSimple>
    </w:p>
    <w:p w14:paraId="27077A54" w14:textId="322518EC" w:rsidR="007C6007" w:rsidRPr="007C6007" w:rsidRDefault="00777D08"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45290446"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t xml:space="preserve">I estimate Equation 3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69819EAB" w14:textId="77777777" w:rsidR="00814016" w:rsidRDefault="00814016">
      <w:pPr>
        <w:contextualSpacing/>
        <w:rPr>
          <w:rFonts w:ascii="Times New Roman" w:hAnsi="Times New Roman" w:cs="Times New Roman"/>
          <w:sz w:val="24"/>
          <w:szCs w:val="24"/>
        </w:rPr>
      </w:pPr>
    </w:p>
    <w:p w14:paraId="035E3978" w14:textId="64ECAF79"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175CEAA3"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1500973"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316D2B3C" w14:textId="188D06EC" w:rsidR="00CF572E" w:rsidRDefault="00CF572E" w:rsidP="00723F1C">
      <w:pPr>
        <w:pStyle w:val="thesisheader"/>
      </w:pPr>
      <w:bookmarkStart w:id="7" w:name="_Toc12282217"/>
      <w:r>
        <w:t>Results</w:t>
      </w:r>
      <w:bookmarkEnd w:id="7"/>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rsidSect="000B335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CB9E1" w14:textId="77777777" w:rsidR="00347F92" w:rsidRDefault="00347F92" w:rsidP="00D90AB6">
      <w:pPr>
        <w:spacing w:line="240" w:lineRule="auto"/>
      </w:pPr>
      <w:r>
        <w:separator/>
      </w:r>
    </w:p>
  </w:endnote>
  <w:endnote w:type="continuationSeparator" w:id="0">
    <w:p w14:paraId="43BFB151" w14:textId="77777777" w:rsidR="00347F92" w:rsidRDefault="00347F92"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777F5" w14:textId="77777777" w:rsidR="00347F92" w:rsidRDefault="00347F92" w:rsidP="00D90AB6">
      <w:pPr>
        <w:spacing w:line="240" w:lineRule="auto"/>
      </w:pPr>
      <w:r>
        <w:separator/>
      </w:r>
    </w:p>
  </w:footnote>
  <w:footnote w:type="continuationSeparator" w:id="0">
    <w:p w14:paraId="36B04435" w14:textId="77777777" w:rsidR="00347F92" w:rsidRDefault="00347F92" w:rsidP="00D90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3F5A36FC" w:rsidR="004C3C9B" w:rsidRDefault="004C3C9B">
        <w:pPr>
          <w:pStyle w:val="Header"/>
          <w:jc w:val="right"/>
        </w:pPr>
        <w:r>
          <w:fldChar w:fldCharType="begin"/>
        </w:r>
        <w:r>
          <w:instrText xml:space="preserve"> PAGE   \* MERGEFORMAT </w:instrText>
        </w:r>
        <w:r>
          <w:fldChar w:fldCharType="separate"/>
        </w:r>
        <w:r w:rsidR="006D3C22">
          <w:rPr>
            <w:noProof/>
          </w:rPr>
          <w:t>15</w:t>
        </w:r>
        <w:r>
          <w:rPr>
            <w:noProof/>
          </w:rPr>
          <w:fldChar w:fldCharType="end"/>
        </w:r>
      </w:p>
    </w:sdtContent>
  </w:sdt>
  <w:p w14:paraId="6C1D876D" w14:textId="77777777" w:rsidR="004C3C9B" w:rsidRDefault="004C3C9B" w:rsidP="004C3C9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B3358"/>
    <w:rsid w:val="000C573A"/>
    <w:rsid w:val="000F2380"/>
    <w:rsid w:val="00112CCD"/>
    <w:rsid w:val="001159CB"/>
    <w:rsid w:val="00116B4F"/>
    <w:rsid w:val="00121BEE"/>
    <w:rsid w:val="00125688"/>
    <w:rsid w:val="001329E5"/>
    <w:rsid w:val="001433F8"/>
    <w:rsid w:val="00152A7B"/>
    <w:rsid w:val="00154EB0"/>
    <w:rsid w:val="00161FD9"/>
    <w:rsid w:val="00192FCA"/>
    <w:rsid w:val="001A3527"/>
    <w:rsid w:val="001C1680"/>
    <w:rsid w:val="001D2292"/>
    <w:rsid w:val="001E4926"/>
    <w:rsid w:val="001F1B1D"/>
    <w:rsid w:val="00201C53"/>
    <w:rsid w:val="002169FA"/>
    <w:rsid w:val="0022180C"/>
    <w:rsid w:val="00257213"/>
    <w:rsid w:val="00271880"/>
    <w:rsid w:val="00285189"/>
    <w:rsid w:val="00291B60"/>
    <w:rsid w:val="002A43CB"/>
    <w:rsid w:val="002B7B4D"/>
    <w:rsid w:val="002C4C57"/>
    <w:rsid w:val="002D380B"/>
    <w:rsid w:val="002D3892"/>
    <w:rsid w:val="002F6DBB"/>
    <w:rsid w:val="00302287"/>
    <w:rsid w:val="00302A19"/>
    <w:rsid w:val="003042EE"/>
    <w:rsid w:val="00306539"/>
    <w:rsid w:val="00341D00"/>
    <w:rsid w:val="00344D43"/>
    <w:rsid w:val="00347F92"/>
    <w:rsid w:val="0036055E"/>
    <w:rsid w:val="003A731B"/>
    <w:rsid w:val="003B2672"/>
    <w:rsid w:val="003C40BC"/>
    <w:rsid w:val="003C41AF"/>
    <w:rsid w:val="003E50FA"/>
    <w:rsid w:val="003E721B"/>
    <w:rsid w:val="0040538B"/>
    <w:rsid w:val="00416675"/>
    <w:rsid w:val="00433F5A"/>
    <w:rsid w:val="00434602"/>
    <w:rsid w:val="00472F66"/>
    <w:rsid w:val="00474B03"/>
    <w:rsid w:val="004B6037"/>
    <w:rsid w:val="004B66D9"/>
    <w:rsid w:val="004C2881"/>
    <w:rsid w:val="004C3C9B"/>
    <w:rsid w:val="004C4D23"/>
    <w:rsid w:val="004C6AF9"/>
    <w:rsid w:val="004D06FC"/>
    <w:rsid w:val="004E615D"/>
    <w:rsid w:val="004F2641"/>
    <w:rsid w:val="004F4747"/>
    <w:rsid w:val="004F6585"/>
    <w:rsid w:val="00524DEB"/>
    <w:rsid w:val="00534256"/>
    <w:rsid w:val="00537362"/>
    <w:rsid w:val="00546322"/>
    <w:rsid w:val="00566045"/>
    <w:rsid w:val="005669E9"/>
    <w:rsid w:val="0058002E"/>
    <w:rsid w:val="00595038"/>
    <w:rsid w:val="005B6863"/>
    <w:rsid w:val="005C02DD"/>
    <w:rsid w:val="005F0BE4"/>
    <w:rsid w:val="005F4DAC"/>
    <w:rsid w:val="005F52F4"/>
    <w:rsid w:val="0062561D"/>
    <w:rsid w:val="006263F2"/>
    <w:rsid w:val="0063466F"/>
    <w:rsid w:val="006458B7"/>
    <w:rsid w:val="00663461"/>
    <w:rsid w:val="00680B5F"/>
    <w:rsid w:val="006820EA"/>
    <w:rsid w:val="006B4DB1"/>
    <w:rsid w:val="006D00F9"/>
    <w:rsid w:val="006D21E5"/>
    <w:rsid w:val="006D3C22"/>
    <w:rsid w:val="006D7AE0"/>
    <w:rsid w:val="006E29F9"/>
    <w:rsid w:val="006F1608"/>
    <w:rsid w:val="00700B09"/>
    <w:rsid w:val="00702CAF"/>
    <w:rsid w:val="00706A52"/>
    <w:rsid w:val="00723F1C"/>
    <w:rsid w:val="00726B49"/>
    <w:rsid w:val="00727BAC"/>
    <w:rsid w:val="00736C06"/>
    <w:rsid w:val="00741380"/>
    <w:rsid w:val="00741AEC"/>
    <w:rsid w:val="00744A5E"/>
    <w:rsid w:val="007502F2"/>
    <w:rsid w:val="00751BD5"/>
    <w:rsid w:val="007775E3"/>
    <w:rsid w:val="00777D08"/>
    <w:rsid w:val="00781D4E"/>
    <w:rsid w:val="007C6007"/>
    <w:rsid w:val="007D17C6"/>
    <w:rsid w:val="007E2EC6"/>
    <w:rsid w:val="007F7A34"/>
    <w:rsid w:val="008110E2"/>
    <w:rsid w:val="00814016"/>
    <w:rsid w:val="00861DD6"/>
    <w:rsid w:val="008620A5"/>
    <w:rsid w:val="00865245"/>
    <w:rsid w:val="0087319A"/>
    <w:rsid w:val="008815B6"/>
    <w:rsid w:val="008C1BBD"/>
    <w:rsid w:val="008C5EFD"/>
    <w:rsid w:val="008F0660"/>
    <w:rsid w:val="00915A37"/>
    <w:rsid w:val="009170DB"/>
    <w:rsid w:val="00923AAE"/>
    <w:rsid w:val="00932CFB"/>
    <w:rsid w:val="00943771"/>
    <w:rsid w:val="009927C8"/>
    <w:rsid w:val="00996E3E"/>
    <w:rsid w:val="009B36AD"/>
    <w:rsid w:val="009C097A"/>
    <w:rsid w:val="009D5135"/>
    <w:rsid w:val="009D6F4D"/>
    <w:rsid w:val="009F0108"/>
    <w:rsid w:val="009F39EF"/>
    <w:rsid w:val="009F7B3E"/>
    <w:rsid w:val="00A01301"/>
    <w:rsid w:val="00A11C54"/>
    <w:rsid w:val="00A33DD6"/>
    <w:rsid w:val="00A34F8B"/>
    <w:rsid w:val="00A40CC4"/>
    <w:rsid w:val="00A5244E"/>
    <w:rsid w:val="00A64C70"/>
    <w:rsid w:val="00A6763E"/>
    <w:rsid w:val="00A87A7C"/>
    <w:rsid w:val="00AC3E2F"/>
    <w:rsid w:val="00AD0E9B"/>
    <w:rsid w:val="00AE475A"/>
    <w:rsid w:val="00AF6473"/>
    <w:rsid w:val="00B21CB0"/>
    <w:rsid w:val="00B23D0C"/>
    <w:rsid w:val="00B340E6"/>
    <w:rsid w:val="00B369DF"/>
    <w:rsid w:val="00B61BDF"/>
    <w:rsid w:val="00B6293E"/>
    <w:rsid w:val="00B67AAF"/>
    <w:rsid w:val="00B72DA6"/>
    <w:rsid w:val="00B94CA4"/>
    <w:rsid w:val="00B953F2"/>
    <w:rsid w:val="00B95D5E"/>
    <w:rsid w:val="00BB661D"/>
    <w:rsid w:val="00BC2FE3"/>
    <w:rsid w:val="00BE21C5"/>
    <w:rsid w:val="00BF10F8"/>
    <w:rsid w:val="00BF2885"/>
    <w:rsid w:val="00C33B74"/>
    <w:rsid w:val="00C50D65"/>
    <w:rsid w:val="00C52EF0"/>
    <w:rsid w:val="00C53333"/>
    <w:rsid w:val="00C92D9D"/>
    <w:rsid w:val="00C967EC"/>
    <w:rsid w:val="00C970AF"/>
    <w:rsid w:val="00CD56EC"/>
    <w:rsid w:val="00CF4F77"/>
    <w:rsid w:val="00CF572E"/>
    <w:rsid w:val="00D06165"/>
    <w:rsid w:val="00D109C9"/>
    <w:rsid w:val="00D155E9"/>
    <w:rsid w:val="00D255E4"/>
    <w:rsid w:val="00D32D9F"/>
    <w:rsid w:val="00D358AC"/>
    <w:rsid w:val="00D56DC5"/>
    <w:rsid w:val="00D75716"/>
    <w:rsid w:val="00D7684F"/>
    <w:rsid w:val="00D90AB6"/>
    <w:rsid w:val="00DA4EE0"/>
    <w:rsid w:val="00DC4B63"/>
    <w:rsid w:val="00DC5455"/>
    <w:rsid w:val="00DD66A8"/>
    <w:rsid w:val="00DF16C9"/>
    <w:rsid w:val="00DF779E"/>
    <w:rsid w:val="00E16C18"/>
    <w:rsid w:val="00E22FB6"/>
    <w:rsid w:val="00E261F4"/>
    <w:rsid w:val="00E263E4"/>
    <w:rsid w:val="00E554F7"/>
    <w:rsid w:val="00E87563"/>
    <w:rsid w:val="00EA5C64"/>
    <w:rsid w:val="00EA6D7A"/>
    <w:rsid w:val="00EB1C75"/>
    <w:rsid w:val="00EC494C"/>
    <w:rsid w:val="00EE5DCA"/>
    <w:rsid w:val="00EF60FB"/>
    <w:rsid w:val="00F071F9"/>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172C0-2E92-422F-A6A9-48B783E4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16</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112</cp:revision>
  <dcterms:created xsi:type="dcterms:W3CDTF">2019-06-15T17:14:00Z</dcterms:created>
  <dcterms:modified xsi:type="dcterms:W3CDTF">2019-06-24T19:24:00Z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