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PingFang SC" w:cs="PingFang SC" w:eastAsia="PingFang SC" w:hAnsi="PingFang SC"/>
          <w:b/>
          <w:bCs/>
          <w:color w:val="C8552D"/>
          <w:sz w:val="40"/>
          <w:szCs w:val="40"/>
        </w:rPr>
        <w:t xml:space="preserve">《68 海里 · 两面》答辩节奏 V3</w:t>
      </w:r>
    </w:p>
    <w:p>
      <w:pPr>
        <w:spacing w:after="60" w:before="60"/>
        <w:jc w:val="center"/>
      </w:pPr>
      <w:r>
        <w:rPr>
          <w:rFonts w:ascii="PingFang SC" w:cs="PingFang SC" w:eastAsia="PingFang SC" w:hAnsi="PingFang SC"/>
          <w:color w:val="7A5A3A"/>
          <w:sz w:val="18"/>
          <w:szCs w:val="18"/>
        </w:rPr>
        <w:t xml:space="preserve">—— 6 分钟决赛单人路演 · 含 PPT + 视频 + 小程序交互 + 网站展示 + 文创实物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  <w:b/>
          <w:bCs/>
          <w:color w:val="1A1612"/>
          <w:sz w:val="30"/>
          <w:szCs w:val="30"/>
        </w:rPr>
        <w:t xml:space="preserve">一 · 6 分钟节奏（严格不超时）</w:t>
      </w:r>
    </w:p>
    <w:tbl>
      <w:tblPr>
        <w:tblW w:type="pct" w:w="100%"/>
        <w:tblBorders>
          <w:top w:val="single" w:color="D9C9A8" w:sz="6"/>
          <w:left w:val="single" w:color="D9C9A8" w:sz="6"/>
          <w:bottom w:val="single" w:color="D9C9A8" w:sz="6"/>
          <w:right w:val="single" w:color="D9C9A8" w:sz="6"/>
          <w:insideH w:val="single" w:color="D9C9A8" w:sz="4"/>
          <w:insideV w:val="single" w:color="D9C9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A1612" w:val="solid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FFCC00"/>
                <w:sz w:val="20"/>
                <w:szCs w:val="20"/>
              </w:rPr>
              <w:t xml:space="preserve">时段</w:t>
            </w:r>
          </w:p>
        </w:tc>
        <w:tc>
          <w:tcPr>
            <w:tcW w:type="pct" w:w="28%"/>
            <w:shd w:color="1A1612" w:val="solid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FFCC00"/>
                <w:sz w:val="20"/>
                <w:szCs w:val="20"/>
              </w:rPr>
              <w:t xml:space="preserve">PPT/入口</w:t>
            </w:r>
          </w:p>
        </w:tc>
        <w:tc>
          <w:tcPr>
            <w:tcW w:type="pct" w:w="57%"/>
            <w:shd w:color="1A1612" w:val="solid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FFCC00"/>
                <w:sz w:val="20"/>
                <w:szCs w:val="20"/>
              </w:rPr>
              <w:t xml:space="preserve">内容与动作要点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00:00—00:30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P1‚P2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金句一开场 + 一句话定位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00:30—01:00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P3‚P4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个人叙事（潮汕人+200城） + 为什么是平潭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01:00—01:30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P5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趋势数据（1200万客流+50%过夜率）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01:30—02:30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P7—P9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三档套餐 + 蓝眼泪盲盒保险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02:30—03:00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P10—P12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PASS卡 + AI推荐 + 蓝眼泪实况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03:00—03:30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切到 video.html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全屏播放 55 秒宣传片（含 BGM）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03:30—04:00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P14 切到 wxapp_demo.html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【关键】小程序现场互动演示 30 秒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04:00—04:30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P15 文创页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11 类文创产品展示（¥39-¥588）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04:30—04:50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切到 index.html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【关键】网站展示 20 秒 + 演示三语切换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04:50—05:20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PPT 营收+预案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¥9,200万/¥1.5亿 + 5 类风险预案</w:t>
            </w:r>
          </w:p>
        </w:tc>
      </w:tr>
      <w:tr>
        <w:tc>
          <w:tcPr>
            <w:tcW w:type="pct" w:w="15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8552D"/>
                <w:sz w:val="20"/>
                <w:szCs w:val="20"/>
              </w:rPr>
              <w:t xml:space="preserve">05:20—06:00</w:t>
            </w:r>
          </w:p>
        </w:tc>
        <w:tc>
          <w:tcPr>
            <w:tcW w:type="pct" w:w="28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7A5A3A"/>
                <w:sz w:val="20"/>
                <w:szCs w:val="20"/>
              </w:rPr>
              <w:t xml:space="preserve">P22—P23</w:t>
            </w:r>
          </w:p>
        </w:tc>
        <w:tc>
          <w:tcPr>
            <w:tcW w:type="pct" w:w="57%"/>
          </w:tcPr>
          <w:p>
            <w:pPr>
              <w:spacing w:after="80" w:before="80"/>
              <w:jc w:val="left"/>
            </w:pPr>
            <w:r>
              <w:rPr>
                <w:rFonts w:ascii="PingFang SC" w:cs="PingFang SC" w:eastAsia="PingFang SC" w:hAnsi="PingFang SC"/>
                <w:color w:val="1A1612"/>
                <w:sz w:val="20"/>
                <w:szCs w:val="20"/>
              </w:rPr>
              <w:t xml:space="preserve">三句金句 + 致谢</w:t>
            </w:r>
          </w:p>
        </w:tc>
      </w:tr>
    </w:tbl>
    <w:p>
      <w:pPr>
        <w:pStyle w:val="Heading3"/>
        <w:spacing w:after="80" w:before="180"/>
      </w:pPr>
      <w:r>
        <w:rPr>
          <w:rFonts w:ascii="PingFang SC" w:cs="PingFang SC" w:eastAsia="PingFang SC" w:hAnsi="PingFang SC"/>
          <w:b/>
          <w:bCs/>
          <w:color w:val="0E5267"/>
          <w:sz w:val="24"/>
          <w:szCs w:val="24"/>
        </w:rPr>
        <w:t xml:space="preserve">考虑超时限制 · 优先级可跳过项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若时间不够，可跳过 P19 周边联动（节省20秒）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最后剩下不足 30 秒时可直接跳到 P23 收尾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网站展示仅需点击三语切换按钮·滚动一下 PASS 模块即可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  <w:b/>
          <w:bCs/>
          <w:color w:val="1A1612"/>
          <w:sz w:val="30"/>
          <w:szCs w:val="30"/>
        </w:rPr>
        <w:t xml:space="preserve">二 · 测试清单（提前 24 小时）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运行： cd 68haili_demo &amp;&amp; python3 -m http.server 8080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预热 6 个标签页： index.html / ppt.html / video.html / wxapp_demo.html / demo_translator.html / demo_dashboard.html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验证网站三语切换：点击 简/EN/繁 按钮·不需刷新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验证小程序互动：点击任意预设指令 · AI 该克刷出响应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验证视频音频：点击播放 · BGM 应能听到 (Pixabay备份曲或 Summer Kennedy)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  <w:b/>
          <w:bCs/>
          <w:color w:val="1A1612"/>
          <w:sz w:val="30"/>
          <w:szCs w:val="30"/>
        </w:rPr>
        <w:t xml:space="preserve">三 · 全程我讲我演 · 不让评委动手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小程序互动页：我点 3 个预设指令（行程规划·方言翻译·蓝眼泪），评委看到 AI 实时响应即可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网站展示：我滚动到 PASS 模块 + 点 EN 切换 + 点繁按钮 【三问三答】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视频播放：我点开始·评委静静看完 55 秒·中间不说话</w:t>
      </w:r>
    </w:p>
    <w:p>
      <w:pPr>
        <w:spacing w:after="60" w:before="60"/>
        <w:ind w:left="280"/>
      </w:pPr>
      <w:r>
        <w:rPr>
          <w:rFonts w:ascii="PingFang SC" w:cs="PingFang SC" w:eastAsia="PingFang SC" w:hAnsi="PingFang SC"/>
          <w:sz w:val="22"/>
          <w:szCs w:val="22"/>
        </w:rPr>
        <w:t xml:space="preserve">▸ 文创展示：我指出价格带谱的覆盖面 ¥39-¥588 的产品矩阵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  <w:b/>
          <w:bCs/>
          <w:color w:val="1A1612"/>
          <w:sz w:val="30"/>
          <w:szCs w:val="30"/>
        </w:rPr>
        <w:t xml:space="preserve">四 · 金句脱稿</w:t>
      </w:r>
    </w:p>
    <w:p>
      <w:pPr>
        <w:spacing w:after="80" w:before="80"/>
      </w:pPr>
      <w:r>
        <w:rPr>
          <w:rFonts w:ascii="PingFang SC" w:cs="PingFang SC" w:eastAsia="PingFang SC" w:hAnsi="PingFang SC"/>
          <w:b/>
          <w:bCs/>
          <w:color w:val="C8552D"/>
          <w:sz w:val="22"/>
          <w:szCs w:val="22"/>
        </w:rPr>
        <w:t xml:space="preserve">"我们不生产标准化的打卡点——我们用 AI 与人文，重新翻译了这 68 海里的距离。"</w:t>
      </w:r>
    </w:p>
    <w:p>
      <w:pPr>
        <w:spacing w:after="80" w:before="80"/>
      </w:pPr>
      <w:r>
        <w:rPr>
          <w:rFonts w:ascii="PingFang SC" w:cs="PingFang SC" w:eastAsia="PingFang SC" w:hAnsi="PingFang SC"/>
          <w:b/>
          <w:bCs/>
          <w:color w:val="C8552D"/>
          <w:sz w:val="22"/>
          <w:szCs w:val="22"/>
        </w:rPr>
        <w:t xml:space="preserve">"当海风的粗糙感、两岸的乡音被技术转化为可感知、可消费的产品，文化才真正具备了自我造血的生命力。"</w:t>
      </w:r>
    </w:p>
    <w:p>
      <w:pPr>
        <w:spacing w:after="80" w:before="80"/>
      </w:pPr>
      <w:r>
        <w:rPr>
          <w:rFonts w:ascii="PingFang SC" w:cs="PingFang SC" w:eastAsia="PingFang SC" w:hAnsi="PingFang SC"/>
          <w:b/>
          <w:bCs/>
          <w:color w:val="C8552D"/>
          <w:sz w:val="22"/>
          <w:szCs w:val="22"/>
        </w:rPr>
        <w:t xml:space="preserve">"68 海里——曾经是地理上的最近距离。今天，让它成为青年文化消费里、海西区域协同里、两岸融合发展里——最近的距离。"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  <w:b/>
          <w:bCs/>
          <w:color w:val="1A1612"/>
          <w:sz w:val="30"/>
          <w:szCs w:val="30"/>
        </w:rPr>
        <w:t xml:space="preserve">五 · 评委提问 Q&amp;A</w:t>
      </w:r>
    </w:p>
    <w:p>
      <w:pPr>
        <w:pStyle w:val="Heading3"/>
        <w:spacing w:after="80" w:before="180"/>
      </w:pPr>
      <w:r>
        <w:rPr>
          <w:rFonts w:ascii="PingFang SC" w:cs="PingFang SC" w:eastAsia="PingFang SC" w:hAnsi="PingFang SC"/>
          <w:b/>
          <w:bCs/>
          <w:color w:val="0E5267"/>
          <w:sz w:val="24"/>
          <w:szCs w:val="24"/>
        </w:rPr>
        <w:t xml:space="preserve">Q1：营收 9200 万依据？</w:t>
      </w:r>
    </w:p>
    <w:p>
      <w:pPr>
        <w:spacing w:after="80" w:before="80"/>
      </w:pPr>
      <w:r>
        <w:rPr>
          <w:rFonts w:ascii="PingFang SC" w:cs="PingFang SC" w:eastAsia="PingFang SC" w:hAnsi="PingFang SC"/>
          <w:sz w:val="22"/>
          <w:szCs w:val="22"/>
        </w:rPr>
        <w:t xml:space="preserve">A：基于平潭 2025 年 1200 万年客流 × 0.5% 抳取率 = 6 万精准客流 + 18 万 PASS 卡·五条营收曲线叠加。</w:t>
      </w:r>
    </w:p>
    <w:p>
      <w:pPr>
        <w:pStyle w:val="Heading3"/>
        <w:spacing w:after="80" w:before="180"/>
      </w:pPr>
      <w:r>
        <w:rPr>
          <w:rFonts w:ascii="PingFang SC" w:cs="PingFang SC" w:eastAsia="PingFang SC" w:hAnsi="PingFang SC"/>
          <w:b/>
          <w:bCs/>
          <w:color w:val="0E5267"/>
          <w:sz w:val="24"/>
          <w:szCs w:val="24"/>
        </w:rPr>
        <w:t xml:space="preserve">Q2：与携程价格差异？</w:t>
      </w:r>
    </w:p>
    <w:p>
      <w:pPr>
        <w:spacing w:after="80" w:before="80"/>
      </w:pPr>
      <w:r>
        <w:rPr>
          <w:rFonts w:ascii="PingFang SC" w:cs="PingFang SC" w:eastAsia="PingFang SC" w:hAnsi="PingFang SC"/>
          <w:sz w:val="22"/>
          <w:szCs w:val="22"/>
        </w:rPr>
        <w:t xml:space="preserve">A：B 档 ¥1,380 较携程同档 ¥1,427 不高。C 档含独享学术访谈+亲自带团 ¥3,680。加 PASS 卡后实际性价比高于市场。</w:t>
      </w:r>
    </w:p>
    <w:p>
      <w:pPr>
        <w:pStyle w:val="Heading3"/>
        <w:spacing w:after="80" w:before="180"/>
      </w:pPr>
      <w:r>
        <w:rPr>
          <w:rFonts w:ascii="PingFang SC" w:cs="PingFang SC" w:eastAsia="PingFang SC" w:hAnsi="PingFang SC"/>
          <w:b/>
          <w:bCs/>
          <w:color w:val="0E5267"/>
          <w:sz w:val="24"/>
          <w:szCs w:val="24"/>
        </w:rPr>
        <w:t xml:space="preserve">Q3：营收是否有重复个人咨询产品的风险？</w:t>
      </w:r>
    </w:p>
    <w:p>
      <w:pPr>
        <w:spacing w:after="80" w:before="80"/>
      </w:pPr>
      <w:r>
        <w:rPr>
          <w:rFonts w:ascii="PingFang SC" w:cs="PingFang SC" w:eastAsia="PingFang SC" w:hAnsi="PingFang SC"/>
          <w:sz w:val="22"/>
          <w:szCs w:val="22"/>
        </w:rPr>
        <w:t xml:space="preserve">A：C 档限量（6—8 期/年·12人）不依赖个人产能；A/B 档+PASS 卡+文创为可复制产品，未来由专门小团队运营。</w:t>
      </w:r>
    </w:p>
    <w:p>
      <w:pPr>
        <w:spacing w:after="60" w:before="60"/>
        <w:jc w:val="center"/>
      </w:pPr>
      <w:r>
        <w:rPr>
          <w:rFonts w:ascii="PingFang SC" w:cs="PingFang SC" w:eastAsia="PingFang SC" w:hAnsi="PingFang SC"/>
          <w:color w:val="7A5A3A"/>
          <w:sz w:val="18"/>
          <w:szCs w:val="18"/>
        </w:rPr>
        <w:t xml:space="preserve">© 2026 GUO JIA · 25210120088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68海里·两面 答辩节奏 V3 (含网站+小程序+文创)</dc:title>
  <dc:creator>Guo Jia</dc:creator>
  <cp:lastModifiedBy>Un-named</cp:lastModifiedBy>
  <cp:revision>1</cp:revision>
  <dcterms:created xsi:type="dcterms:W3CDTF">2026-05-21T04:31:54.438Z</dcterms:created>
  <dcterms:modified xsi:type="dcterms:W3CDTF">2026-05-21T04:31:54.439Z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