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 w:val="0"/>
          <w:i/>
          <w:color w:val="C8552D"/>
          <w:sz w:val="20"/>
        </w:rPr>
        <w:t>FOR THE JURY · OPENING GUIDE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48"/>
        </w:rPr>
        <w:t>68海里 · 两面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7A5A3A"/>
          <w:sz w:val="26"/>
        </w:rPr>
        <w:t>评委组评审材料 · 打开说明</w:t>
      </w:r>
    </w:p>
    <w:p>
      <w:pPr>
        <w:pBdr>
          <w:bottom w:val="single" w:sz="8" w:space="1" w:color="FFCC00"/>
        </w:pBdr>
      </w:pP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4"/>
        </w:rPr>
        <w:t>尊敬的评委老师，您好！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感谢您审阅本届 2026 复旦大学青春文旅设计大赛参赛作品 ——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《68 海里 · 两面 — 平潭跨海峡数字人文文旅产品方案》。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本资料包内一切内容均可双击直接在浏览器中打开，无需安装任何额外软件。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32"/>
        </w:rPr>
        <w:t>一、最快路径 · 一键浏览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如果您只想用 5 分钟快速了解作品全貌，请双击打开下列文件：</w:t>
      </w:r>
    </w:p>
    <w:p>
      <w:pPr>
        <w:spacing w:after="80"/>
        <w:ind w:left="340"/>
      </w:pPr>
      <w:r>
        <w:rPr>
          <w:rFonts w:ascii="PingFang SC" w:hAnsi="PingFang SC" w:eastAsia="PingFang SC"/>
          <w:b/>
          <w:i w:val="0"/>
          <w:color w:val="C8552D"/>
          <w:sz w:val="24"/>
        </w:rPr>
        <w:t>▶ index.html（产品官网首页 · 推荐起点）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32"/>
        </w:rPr>
        <w:t>二、完整评审路径 · 建议顺序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4"/>
        </w:rPr>
        <w:t>① 产品官网 (index.html)</w:t>
      </w:r>
    </w:p>
    <w:p>
      <w:pPr>
        <w:spacing w:after="80"/>
        <w:ind w:left="34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浏览总览，约 3 分钟。右上角支持 简体 / English / 繁體 三语切换。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4"/>
        </w:rPr>
        <w:t>② 答辩 PPT (ppt.html / ppt.pptx)</w:t>
      </w:r>
    </w:p>
    <w:p>
      <w:pPr>
        <w:spacing w:after="80"/>
        <w:ind w:left="34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24 页可翻页幻灯片，方向键 / 空格翻页，约 5 分钟。如有浏览器异常，请使用同名 .pptx 文件直接打开。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4"/>
        </w:rPr>
        <w:t>③ 产品介绍片 (video.html)</w:t>
      </w:r>
    </w:p>
    <w:p>
      <w:pPr>
        <w:spacing w:after="80"/>
        <w:ind w:left="34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60 秒动态分镜片，可全屏播放。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4"/>
        </w:rPr>
        <w:t>④ 小程序原型 (wxapp_demo.html / wxapp.html)</w:t>
      </w:r>
    </w:p>
    <w:p>
      <w:pPr>
        <w:spacing w:after="80"/>
        <w:ind w:left="34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模拟真实小程序操作界面。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4"/>
        </w:rPr>
        <w:t>⑤ 3 个 AI 演示原型</w:t>
      </w:r>
    </w:p>
    <w:p>
      <w:pPr>
        <w:spacing w:after="80"/>
        <w:ind w:left="34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方言情绪翻译器 / VLM 场景解读 / 运营大屏。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32"/>
        </w:rPr>
        <w:t>三、各 Demo 一键直达（直接双击对应文件）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b/>
                <w:sz w:val="22"/>
              </w:rPr>
              <w:t>文件名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b/>
                <w:sz w:val="22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index.html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产品官网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ppt.html / ppt.pptx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答辩 PPT（HTML 与 PowerPoint 双版本）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video.html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介绍片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wxapp_demo.html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小程序原型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demo_translator.html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AI 翻译器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demo_vlm.html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VLM 场景解读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demo_dashboard.html</w:t>
            </w:r>
          </w:p>
        </w:tc>
        <w:tc>
          <w:tcPr>
            <w:tcW w:type="dxa" w:w="4759"/>
          </w:tcPr>
          <w:p>
            <w:r/>
            <w:r>
              <w:rPr>
                <w:rFonts w:ascii="PingFang SC" w:hAnsi="PingFang SC" w:eastAsia="PingFang SC"/>
                <w:sz w:val="21"/>
              </w:rPr>
              <w:t>运营大屏</w:t>
            </w:r>
          </w:p>
        </w:tc>
      </w:tr>
    </w:tbl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32"/>
        </w:rPr>
        <w:t>四、操作要点 · 一图速查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2"/>
        </w:rPr>
        <w:t>• 翻页 · 答辩 PPT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5A4A32"/>
          <w:sz w:val="20"/>
        </w:rPr>
        <w:t xml:space="preserve">   键盘 ← → / 空格 切换；右下角支持鼠标点击；进度条显示当前进度。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2"/>
        </w:rPr>
        <w:t>• 语言切换 · 官网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5A4A32"/>
          <w:sz w:val="20"/>
        </w:rPr>
        <w:t xml:space="preserve">   页面右上角 CN / EN / TC 三键，所有正文同步切换，刷新后记忆。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2"/>
        </w:rPr>
        <w:t>• 全屏播放 · 介绍片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5A4A32"/>
          <w:sz w:val="20"/>
        </w:rPr>
        <w:t xml:space="preserve">   点击播放后，可按浏览器 F11 进入全屏；支持背景音乐与字幕同步。</w:t>
      </w:r>
    </w:p>
    <w:p>
      <w:pPr>
        <w:spacing w:after="80"/>
      </w:pPr>
      <w:r>
        <w:rPr>
          <w:rFonts w:ascii="PingFang SC" w:hAnsi="PingFang SC" w:eastAsia="PingFang SC"/>
          <w:b/>
          <w:i w:val="0"/>
          <w:color w:val="C8552D"/>
          <w:sz w:val="22"/>
        </w:rPr>
        <w:t>• 跨页跳转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5A4A32"/>
          <w:sz w:val="20"/>
        </w:rPr>
        <w:t xml:space="preserve">   所有页面右上角带 ← 网站 / DECK 按钮，可随时返回主入口。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</w:r>
    </w:p>
    <w:p>
      <w:pPr>
        <w:spacing w:after="80"/>
      </w:pPr>
      <w:r>
        <w:rPr>
          <w:rFonts w:ascii="PingFang SC" w:hAnsi="PingFang SC" w:eastAsia="PingFang SC"/>
          <w:b w:val="0"/>
          <w:i/>
          <w:color w:val="7A5A3A"/>
          <w:sz w:val="20"/>
        </w:rPr>
        <w:t>温馨提示：建议使用 Chrome、Edge、Safari 最新版本浏览器打开以获得最佳体验。若图片或字体加载稍慢，请等待 1-2 秒；本资料已尽量优化离线可访问性。</w:t>
      </w:r>
    </w:p>
    <w:p>
      <w:pPr>
        <w:spacing w:before="280" w:after="120"/>
      </w:pPr>
      <w:r>
        <w:rPr>
          <w:rFonts w:ascii="PingFang SC" w:hAnsi="PingFang SC" w:eastAsia="PingFang SC"/>
          <w:b/>
          <w:color w:val="1A1612"/>
          <w:sz w:val="32"/>
        </w:rPr>
        <w:t>五、附录 · 操作演示</w:t>
      </w:r>
    </w:p>
    <w:p>
      <w:pPr>
        <w:spacing w:after="80"/>
      </w:pPr>
      <w:r>
        <w:rPr>
          <w:rFonts w:ascii="PingFang SC" w:hAnsi="PingFang SC" w:eastAsia="PingFang SC"/>
          <w:b w:val="0"/>
          <w:i w:val="0"/>
          <w:color w:val="2C2418"/>
          <w:sz w:val="22"/>
        </w:rPr>
        <w:t>若您希望先观看一遍 "如何浏览整套材料" 的动态引导，请双击：</w:t>
      </w:r>
    </w:p>
    <w:p>
      <w:pPr>
        <w:spacing w:after="80"/>
        <w:ind w:left="340"/>
      </w:pPr>
      <w:r>
        <w:rPr>
          <w:rFonts w:ascii="PingFang SC" w:hAnsi="PingFang SC" w:eastAsia="PingFang SC"/>
          <w:b/>
          <w:i w:val="0"/>
          <w:color w:val="C8552D"/>
          <w:sz w:val="24"/>
        </w:rPr>
        <w:t>▶ 操作演示.html（约 90 秒，分镜动画引导）</w:t>
      </w:r>
    </w:p>
    <w:p>
      <w:pPr>
        <w:pBdr>
          <w:bottom w:val="single" w:sz="8" w:space="1" w:color="FFCC00"/>
        </w:pBdr>
      </w:pPr>
    </w:p>
    <w:p>
      <w:pPr>
        <w:spacing w:after="80"/>
        <w:jc w:val="center"/>
      </w:pPr>
      <w:r>
        <w:rPr>
          <w:rFonts w:ascii="PingFang SC" w:hAnsi="PingFang SC" w:eastAsia="PingFang SC"/>
          <w:b w:val="0"/>
          <w:i w:val="0"/>
          <w:color w:val="7A5A3A"/>
          <w:sz w:val="20"/>
        </w:rPr>
        <w:t>PROJECT · 68 NM TWO SIDES   |   AUTHOR · GUO JIA · FUDAN MTI · 25210120088</w:t>
      </w:r>
    </w:p>
    <w:p>
      <w:pPr>
        <w:spacing w:after="80"/>
        <w:jc w:val="center"/>
      </w:pPr>
      <w:r>
        <w:rPr>
          <w:rFonts w:ascii="PingFang SC" w:hAnsi="PingFang SC" w:eastAsia="PingFang SC"/>
          <w:b w:val="0"/>
          <w:i w:val="0"/>
          <w:color w:val="7A5A3A"/>
          <w:sz w:val="20"/>
        </w:rPr>
        <w:t>复旦大学外国语言文学学院 · 翻译硕士 MTI · 2026 复旦大学青春文旅设计大赛参赛作品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