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812591973"/>
        <w:placeholder>
          <w:docPart w:val="C3ECC31165CB4FC39FD08E2A6344029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8002F" w:rsidRPr="00B8002F" w:rsidRDefault="000666F3" w:rsidP="00EF1E3A">
          <w:pPr>
            <w:pStyle w:val="Title"/>
          </w:pPr>
          <w:r>
            <w:t xml:space="preserve">NUCL 402 HMWK </w:t>
          </w:r>
          <w:r w:rsidR="00EF1E3A">
            <w:t>8</w:t>
          </w:r>
        </w:p>
      </w:sdtContent>
    </w:sdt>
    <w:p w:rsidR="00F519D2" w:rsidRDefault="00EF1E3A" w:rsidP="0091377E">
      <w:pPr>
        <w:pStyle w:val="ListParagraph"/>
        <w:numPr>
          <w:ilvl w:val="0"/>
          <w:numId w:val="4"/>
        </w:numPr>
      </w:pPr>
      <w:r>
        <w:t>BWR One Stage Separation System</w:t>
      </w:r>
    </w:p>
    <w:p w:rsidR="00EF1E3A" w:rsidRPr="00EF1E3A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Turbine Separation</m:t>
              </m:r>
            </m:sub>
          </m:sSub>
          <m:r>
            <w:rPr>
              <w:rFonts w:ascii="Cambria Math" w:hAnsi="Cambria Math"/>
            </w:rPr>
            <m:t>=0.90</m:t>
          </m:r>
        </m:oMath>
      </m:oMathPara>
    </w:p>
    <w:p w:rsidR="00EF1E3A" w:rsidRPr="00EF1E3A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Pump Isentropic</m:t>
              </m:r>
            </m:sub>
          </m:sSub>
          <m:r>
            <w:rPr>
              <w:rFonts w:ascii="Cambria Math" w:hAnsi="Cambria Math"/>
            </w:rPr>
            <m:t>=0.85</m:t>
          </m:r>
        </m:oMath>
      </m:oMathPara>
    </w:p>
    <w:p w:rsidR="00EF1E3A" w:rsidRPr="00B53B6A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tbl>
      <w:tblPr>
        <w:tblStyle w:val="TableGrid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694"/>
        <w:gridCol w:w="810"/>
        <w:gridCol w:w="672"/>
        <w:gridCol w:w="1170"/>
      </w:tblGrid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Point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p (kPa)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x ( )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h (kJ/kg)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6890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1192.4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2s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0.846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1067.09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0.861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1079.6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1.00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1199.3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0.00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355.6</w:t>
            </w:r>
          </w:p>
        </w:tc>
      </w:tr>
      <w:tr w:rsidR="00844D78" w:rsidTr="006A4E1A">
        <w:trPr>
          <w:jc w:val="center"/>
        </w:trPr>
        <w:tc>
          <w:tcPr>
            <w:tcW w:w="694" w:type="dxa"/>
          </w:tcPr>
          <w:p w:rsidR="00844D78" w:rsidRDefault="00844D78" w:rsidP="00EF1E3A">
            <w:pPr>
              <w:pStyle w:val="ListParagraph"/>
              <w:ind w:left="0"/>
            </w:pPr>
            <w:r>
              <w:t>5s</w:t>
            </w:r>
          </w:p>
        </w:tc>
        <w:tc>
          <w:tcPr>
            <w:tcW w:w="810" w:type="dxa"/>
          </w:tcPr>
          <w:p w:rsidR="00844D78" w:rsidRDefault="00844D78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844D78" w:rsidRDefault="00844D78" w:rsidP="00EF1E3A">
            <w:pPr>
              <w:pStyle w:val="ListParagraph"/>
              <w:ind w:left="0"/>
            </w:pPr>
            <w:r>
              <w:t>0.800</w:t>
            </w:r>
          </w:p>
        </w:tc>
        <w:tc>
          <w:tcPr>
            <w:tcW w:w="1170" w:type="dxa"/>
          </w:tcPr>
          <w:p w:rsidR="00844D78" w:rsidRDefault="00844D78" w:rsidP="00EF1E3A">
            <w:pPr>
              <w:pStyle w:val="ListParagraph"/>
              <w:ind w:left="0"/>
            </w:pPr>
            <w:r>
              <w:t>898.30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6.89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0.797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896.95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6.89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0.00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69.7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7s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70.29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70.39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1380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110.5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9s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6890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117.06</w:t>
            </w:r>
          </w:p>
        </w:tc>
      </w:tr>
      <w:tr w:rsidR="006A4E1A" w:rsidTr="006A4E1A">
        <w:trPr>
          <w:jc w:val="center"/>
        </w:trPr>
        <w:tc>
          <w:tcPr>
            <w:tcW w:w="694" w:type="dxa"/>
          </w:tcPr>
          <w:p w:rsidR="006A4E1A" w:rsidRDefault="006A4E1A" w:rsidP="00EF1E3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10" w:type="dxa"/>
          </w:tcPr>
          <w:p w:rsidR="006A4E1A" w:rsidRDefault="006A4E1A" w:rsidP="00EF1E3A">
            <w:pPr>
              <w:pStyle w:val="ListParagraph"/>
              <w:ind w:left="0"/>
            </w:pPr>
            <w:r>
              <w:t>6890</w:t>
            </w:r>
          </w:p>
        </w:tc>
        <w:tc>
          <w:tcPr>
            <w:tcW w:w="672" w:type="dxa"/>
          </w:tcPr>
          <w:p w:rsidR="006A4E1A" w:rsidRDefault="006A4E1A" w:rsidP="00EF1E3A">
            <w:pPr>
              <w:pStyle w:val="ListParagraph"/>
              <w:ind w:left="0"/>
            </w:pPr>
            <w:r>
              <w:t>--</w:t>
            </w:r>
          </w:p>
        </w:tc>
        <w:tc>
          <w:tcPr>
            <w:tcW w:w="1170" w:type="dxa"/>
          </w:tcPr>
          <w:p w:rsidR="006A4E1A" w:rsidRDefault="006A4E1A" w:rsidP="00EF1E3A">
            <w:pPr>
              <w:pStyle w:val="ListParagraph"/>
              <w:ind w:left="0"/>
            </w:pPr>
            <w:r>
              <w:t>118.22</w:t>
            </w:r>
          </w:p>
        </w:tc>
      </w:tr>
    </w:tbl>
    <w:p w:rsidR="00B53B6A" w:rsidRPr="005B57A6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2s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B57A6" w:rsidRPr="00190FD9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5s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0FD9" w:rsidRPr="002F4E27" w:rsidRDefault="00C42736" w:rsidP="00EF1E3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F4E27" w:rsidRPr="00223628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9s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9s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223628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223628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2F4E27">
      <w:pPr>
        <w:pStyle w:val="ListParagraph"/>
        <w:ind w:left="36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</m:oMath>
      </m:oMathPara>
    </w:p>
    <w:p w:rsidR="00C42736" w:rsidRPr="00C42736" w:rsidRDefault="00C42736" w:rsidP="00C4273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C4273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C42736" w:rsidRPr="00C42736" w:rsidRDefault="00C42736" w:rsidP="00C42736">
      <w:pPr>
        <w:pStyle w:val="ListParagraph"/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C42736" w:rsidRPr="005156EA" w:rsidRDefault="005156EA" w:rsidP="00C42736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</m:oMath>
      </m:oMathPara>
    </w:p>
    <w:p w:rsidR="005156EA" w:rsidRPr="005156EA" w:rsidRDefault="005156EA" w:rsidP="005156EA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5156EA" w:rsidRPr="005156EA" w:rsidRDefault="005156EA" w:rsidP="005156EA">
      <w:pPr>
        <w:pStyle w:val="ListParagraph"/>
        <w:ind w:left="360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:rsidR="005156EA" w:rsidRPr="005156EA" w:rsidRDefault="005156EA" w:rsidP="005156EA">
      <w:pPr>
        <w:pStyle w:val="ListParagraph"/>
        <w:ind w:left="360"/>
      </w:pPr>
    </w:p>
    <w:p w:rsidR="005156EA" w:rsidRPr="005156EA" w:rsidRDefault="005156EA" w:rsidP="00C42736">
      <w:pPr>
        <w:pStyle w:val="ListParagraph"/>
        <w:ind w:left="360"/>
      </w:pPr>
    </w:p>
    <w:p w:rsidR="00C42736" w:rsidRPr="00C42736" w:rsidRDefault="00C42736" w:rsidP="002F4E27">
      <w:pPr>
        <w:pStyle w:val="ListParagraph"/>
        <w:ind w:left="360"/>
      </w:pPr>
    </w:p>
    <w:p w:rsidR="002F4E27" w:rsidRPr="00EF1E3A" w:rsidRDefault="002F4E27" w:rsidP="00EF1E3A">
      <w:pPr>
        <w:pStyle w:val="ListParagraph"/>
        <w:ind w:left="360"/>
      </w:pPr>
    </w:p>
    <w:p w:rsidR="00EF1E3A" w:rsidRDefault="00EF1E3A" w:rsidP="00EF1E3A">
      <w:pPr>
        <w:pStyle w:val="ListParagraph"/>
        <w:numPr>
          <w:ilvl w:val="1"/>
          <w:numId w:val="4"/>
        </w:numPr>
      </w:pPr>
      <w:r>
        <w:t>Cycle Thermal Efficiency</w:t>
      </w:r>
    </w:p>
    <w:p w:rsidR="003A20AA" w:rsidRDefault="006A4E1A" w:rsidP="003A20A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=0.3419</m:t>
          </m:r>
        </m:oMath>
      </m:oMathPara>
    </w:p>
    <w:p w:rsidR="00EF1E3A" w:rsidRDefault="00EF1E3A" w:rsidP="00EF1E3A">
      <w:pPr>
        <w:pStyle w:val="ListParagraph"/>
        <w:numPr>
          <w:ilvl w:val="1"/>
          <w:numId w:val="4"/>
        </w:numPr>
      </w:pPr>
      <w:r>
        <w:t>Cycle Thermal Efficiency with pumps and turbines having 100% isentropic efficiency</w:t>
      </w:r>
    </w:p>
    <w:p w:rsidR="00844D78" w:rsidRDefault="00844D78" w:rsidP="00844D78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8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3790</m:t>
          </m:r>
        </m:oMath>
      </m:oMathPara>
    </w:p>
    <w:p w:rsidR="003A20AA" w:rsidRDefault="00EF1E3A" w:rsidP="00844D78">
      <w:pPr>
        <w:pStyle w:val="ListParagraph"/>
        <w:numPr>
          <w:ilvl w:val="1"/>
          <w:numId w:val="4"/>
        </w:numPr>
      </w:pPr>
      <w:r>
        <w:t>Work Lost due to Irreversibility, Conservation of Work</w:t>
      </w:r>
    </w:p>
    <w:p w:rsidR="00844D78" w:rsidRPr="00844D78" w:rsidRDefault="00844D78" w:rsidP="00844D7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=7343.96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844D78" w:rsidRDefault="00844D78" w:rsidP="00844D7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=(0.3419)(7343.96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F1E3A" w:rsidRPr="003A20AA" w:rsidRDefault="00C42736" w:rsidP="00EF1E3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umax</m:t>
              </m:r>
            </m:sub>
          </m:sSub>
          <m:r>
            <w:rPr>
              <w:rFonts w:ascii="Cambria Math" w:hAnsi="Cambria Math"/>
            </w:rPr>
            <m:t>=2510.9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3A20AA" w:rsidRPr="00844D78" w:rsidRDefault="00844D78" w:rsidP="00EF1E3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th,i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0.3790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7343.96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kJ</m:t>
                  </m:r>
                </m:num>
                <m:den>
                  <m:r>
                    <w:rPr>
                      <w:rFonts w:ascii="Cambria Math" w:hAnsi="Cambria Math"/>
                    </w:rPr>
                    <m:t>kg</m:t>
                  </m:r>
                </m:den>
              </m:f>
            </m:e>
          </m:d>
        </m:oMath>
      </m:oMathPara>
    </w:p>
    <w:p w:rsidR="00844D78" w:rsidRPr="00844D78" w:rsidRDefault="00844D78" w:rsidP="00EF1E3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th,i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0.3790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7343.96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kg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0.3419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7343.96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kJ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kg</m:t>
                      </m:r>
                    </m:den>
                  </m:f>
                </m:e>
              </m:d>
            </m:e>
          </m:d>
        </m:oMath>
      </m:oMathPara>
      <w:bookmarkStart w:id="0" w:name="_GoBack"/>
      <w:bookmarkEnd w:id="0"/>
    </w:p>
    <w:p w:rsidR="00EF1E3A" w:rsidRPr="00EF1E3A" w:rsidRDefault="00C42736" w:rsidP="00EF1E3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NET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=2510.9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kg</m:t>
              </m:r>
            </m:den>
          </m:f>
        </m:oMath>
      </m:oMathPara>
    </w:p>
    <w:p w:rsidR="00EF1E3A" w:rsidRDefault="00EF1E3A" w:rsidP="00EF1E3A">
      <w:pPr>
        <w:pStyle w:val="ListParagraph"/>
        <w:numPr>
          <w:ilvl w:val="0"/>
          <w:numId w:val="4"/>
        </w:numPr>
      </w:pPr>
      <w:r>
        <w:t xml:space="preserve">Thermal Efficiency of </w:t>
      </w:r>
      <w:proofErr w:type="spellStart"/>
      <w:r>
        <w:t>Brayton</w:t>
      </w:r>
      <w:proofErr w:type="spellEnd"/>
      <w:r>
        <w:t xml:space="preserve"> Cycle</w:t>
      </w:r>
    </w:p>
    <w:p w:rsidR="00EF1E3A" w:rsidRDefault="00EF1E3A" w:rsidP="00EF1E3A">
      <w:pPr>
        <w:pStyle w:val="ListParagraph"/>
        <w:numPr>
          <w:ilvl w:val="1"/>
          <w:numId w:val="4"/>
        </w:numPr>
      </w:pPr>
      <w:r>
        <w:t>Perfect Gas</w:t>
      </w:r>
    </w:p>
    <w:p w:rsidR="00EF1E3A" w:rsidRPr="003A20AA" w:rsidRDefault="00EF1E3A" w:rsidP="00EF1E3A">
      <w:pPr>
        <w:pStyle w:val="ListParagraph"/>
      </w:pPr>
      <m:oMathPara>
        <m:oMath>
          <m:r>
            <w:rPr>
              <w:rFonts w:ascii="Cambria Math" w:hAnsi="Cambria Math"/>
            </w:rPr>
            <m:t>γ=1.30</m:t>
          </m:r>
        </m:oMath>
      </m:oMathPara>
    </w:p>
    <w:p w:rsidR="003A20AA" w:rsidRPr="00577231" w:rsidRDefault="00B53B6A" w:rsidP="00EF1E3A">
      <w:pPr>
        <w:pStyle w:val="ListParagraph"/>
      </w:pPr>
      <m:oMathPara>
        <m:oMath>
          <m:r>
            <w:rPr>
              <w:rFonts w:ascii="Cambria Math" w:hAnsi="Cambria Math"/>
            </w:rPr>
            <m:t>η=1-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1.30</m:t>
                          </m:r>
                        </m:den>
                      </m:f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=0.31</m:t>
          </m:r>
        </m:oMath>
      </m:oMathPara>
    </w:p>
    <w:p w:rsidR="00EF1E3A" w:rsidRDefault="00EF1E3A" w:rsidP="00EF1E3A">
      <w:pPr>
        <w:pStyle w:val="ListParagraph"/>
        <w:numPr>
          <w:ilvl w:val="1"/>
          <w:numId w:val="4"/>
        </w:numPr>
      </w:pPr>
      <w:r>
        <w:t>Real Fluid</w:t>
      </w:r>
    </w:p>
    <w:p w:rsidR="003A20AA" w:rsidRDefault="00C42736" w:rsidP="0057723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=0.255</m:t>
          </m:r>
        </m:oMath>
      </m:oMathPara>
    </w:p>
    <w:p w:rsidR="00EF1E3A" w:rsidRDefault="00EF1E3A" w:rsidP="00EF1E3A">
      <w:pPr>
        <w:pStyle w:val="ListParagraph"/>
        <w:numPr>
          <w:ilvl w:val="1"/>
          <w:numId w:val="4"/>
        </w:numPr>
      </w:pPr>
      <w:r>
        <w:t>Real Fluid, Compressor Turbine have 95% efficiency</w:t>
      </w:r>
    </w:p>
    <w:p w:rsidR="003A20AA" w:rsidRPr="00F519D2" w:rsidRDefault="00C42736" w:rsidP="00577231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cp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cp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0.95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-0.95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=0.219</m:t>
          </m:r>
        </m:oMath>
      </m:oMathPara>
    </w:p>
    <w:sectPr w:rsidR="003A20AA" w:rsidRPr="00F519D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E1A" w:rsidRDefault="006A4E1A" w:rsidP="000666F3">
      <w:pPr>
        <w:spacing w:after="0" w:line="240" w:lineRule="auto"/>
      </w:pPr>
      <w:r>
        <w:separator/>
      </w:r>
    </w:p>
  </w:endnote>
  <w:endnote w:type="continuationSeparator" w:id="0">
    <w:p w:rsidR="006A4E1A" w:rsidRDefault="006A4E1A" w:rsidP="00066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E1A" w:rsidRDefault="006A4E1A" w:rsidP="000666F3">
      <w:pPr>
        <w:spacing w:after="0" w:line="240" w:lineRule="auto"/>
      </w:pPr>
      <w:r>
        <w:separator/>
      </w:r>
    </w:p>
  </w:footnote>
  <w:footnote w:type="continuationSeparator" w:id="0">
    <w:p w:rsidR="006A4E1A" w:rsidRDefault="006A4E1A" w:rsidP="000666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6A4E1A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Author"/>
            <w:tag w:val=""/>
            <w:id w:val="-1565413353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6A4E1A" w:rsidRDefault="006A4E1A">
              <w:pPr>
                <w:pStyle w:val="Header"/>
                <w:jc w:val="right"/>
              </w:pPr>
              <w:r>
                <w:t>Alex Hagen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A4E1A" w:rsidRDefault="006A4E1A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402 HMWK 8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6A4E1A" w:rsidRDefault="006A4E1A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61C9A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6A4E1A" w:rsidRDefault="006A4E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F668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4A1738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8E7E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291074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95E"/>
    <w:rsid w:val="00001AC7"/>
    <w:rsid w:val="000666F3"/>
    <w:rsid w:val="00082901"/>
    <w:rsid w:val="00086013"/>
    <w:rsid w:val="00090CA6"/>
    <w:rsid w:val="000A1EEB"/>
    <w:rsid w:val="000B6E24"/>
    <w:rsid w:val="000D22F0"/>
    <w:rsid w:val="000D3200"/>
    <w:rsid w:val="00110DD7"/>
    <w:rsid w:val="00180A2F"/>
    <w:rsid w:val="00183A5E"/>
    <w:rsid w:val="00190FD9"/>
    <w:rsid w:val="001F30DA"/>
    <w:rsid w:val="002122E1"/>
    <w:rsid w:val="00223628"/>
    <w:rsid w:val="00234A36"/>
    <w:rsid w:val="002B4185"/>
    <w:rsid w:val="002C5179"/>
    <w:rsid w:val="002D6111"/>
    <w:rsid w:val="002F4E27"/>
    <w:rsid w:val="0031728B"/>
    <w:rsid w:val="00317BC0"/>
    <w:rsid w:val="00332DD1"/>
    <w:rsid w:val="00341308"/>
    <w:rsid w:val="0034299B"/>
    <w:rsid w:val="003833C1"/>
    <w:rsid w:val="00390AEB"/>
    <w:rsid w:val="00393526"/>
    <w:rsid w:val="003A20AA"/>
    <w:rsid w:val="003B17AF"/>
    <w:rsid w:val="003B71A1"/>
    <w:rsid w:val="00435740"/>
    <w:rsid w:val="00453E6B"/>
    <w:rsid w:val="004B717D"/>
    <w:rsid w:val="004D5F82"/>
    <w:rsid w:val="00502870"/>
    <w:rsid w:val="005119E1"/>
    <w:rsid w:val="005156EA"/>
    <w:rsid w:val="005303D5"/>
    <w:rsid w:val="005309F9"/>
    <w:rsid w:val="00535200"/>
    <w:rsid w:val="00577231"/>
    <w:rsid w:val="005776D7"/>
    <w:rsid w:val="005B57A6"/>
    <w:rsid w:val="00642A63"/>
    <w:rsid w:val="0066087F"/>
    <w:rsid w:val="00682D57"/>
    <w:rsid w:val="006A07C2"/>
    <w:rsid w:val="006A4E1A"/>
    <w:rsid w:val="006E2569"/>
    <w:rsid w:val="006E593F"/>
    <w:rsid w:val="0070150C"/>
    <w:rsid w:val="0074545E"/>
    <w:rsid w:val="007703FE"/>
    <w:rsid w:val="00777199"/>
    <w:rsid w:val="00781392"/>
    <w:rsid w:val="0080764C"/>
    <w:rsid w:val="00844D78"/>
    <w:rsid w:val="0087103A"/>
    <w:rsid w:val="00890734"/>
    <w:rsid w:val="008C5673"/>
    <w:rsid w:val="0091377E"/>
    <w:rsid w:val="00916415"/>
    <w:rsid w:val="009A422E"/>
    <w:rsid w:val="009B63B7"/>
    <w:rsid w:val="009F6A38"/>
    <w:rsid w:val="00A42DC6"/>
    <w:rsid w:val="00A4693E"/>
    <w:rsid w:val="00A8163C"/>
    <w:rsid w:val="00AC7A2A"/>
    <w:rsid w:val="00AE24C6"/>
    <w:rsid w:val="00AE4CD0"/>
    <w:rsid w:val="00AF7DFD"/>
    <w:rsid w:val="00B53B6A"/>
    <w:rsid w:val="00B63D70"/>
    <w:rsid w:val="00B8002F"/>
    <w:rsid w:val="00BD08BC"/>
    <w:rsid w:val="00C156DB"/>
    <w:rsid w:val="00C42736"/>
    <w:rsid w:val="00C623F1"/>
    <w:rsid w:val="00C94B0C"/>
    <w:rsid w:val="00CC2D23"/>
    <w:rsid w:val="00CC3BF2"/>
    <w:rsid w:val="00D3130E"/>
    <w:rsid w:val="00D44B94"/>
    <w:rsid w:val="00D62A98"/>
    <w:rsid w:val="00D917B5"/>
    <w:rsid w:val="00DA095E"/>
    <w:rsid w:val="00DA754F"/>
    <w:rsid w:val="00E214E3"/>
    <w:rsid w:val="00E61C9A"/>
    <w:rsid w:val="00EB2C62"/>
    <w:rsid w:val="00EB4D33"/>
    <w:rsid w:val="00EC5ADF"/>
    <w:rsid w:val="00EF1E3A"/>
    <w:rsid w:val="00EF5D0A"/>
    <w:rsid w:val="00F075D4"/>
    <w:rsid w:val="00F233CF"/>
    <w:rsid w:val="00F519D2"/>
    <w:rsid w:val="00F6328C"/>
    <w:rsid w:val="00F662F9"/>
    <w:rsid w:val="00FB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95E"/>
  </w:style>
  <w:style w:type="paragraph" w:styleId="Heading1">
    <w:name w:val="heading 1"/>
    <w:basedOn w:val="Normal"/>
    <w:next w:val="Normal"/>
    <w:link w:val="Heading1Char"/>
    <w:uiPriority w:val="9"/>
    <w:qFormat/>
    <w:rsid w:val="00DA095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95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95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95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95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95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95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95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95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95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95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95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95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95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95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95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95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95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A095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A095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95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95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95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95E"/>
    <w:rPr>
      <w:b/>
      <w:color w:val="C0504D" w:themeColor="accent2"/>
    </w:rPr>
  </w:style>
  <w:style w:type="character" w:styleId="Emphasis">
    <w:name w:val="Emphasis"/>
    <w:uiPriority w:val="20"/>
    <w:qFormat/>
    <w:rsid w:val="00DA095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95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095E"/>
  </w:style>
  <w:style w:type="paragraph" w:styleId="ListParagraph">
    <w:name w:val="List Paragraph"/>
    <w:basedOn w:val="Normal"/>
    <w:uiPriority w:val="34"/>
    <w:qFormat/>
    <w:rsid w:val="00DA09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095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95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95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95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95E"/>
    <w:rPr>
      <w:i/>
    </w:rPr>
  </w:style>
  <w:style w:type="character" w:styleId="IntenseEmphasis">
    <w:name w:val="Intense Emphasis"/>
    <w:uiPriority w:val="21"/>
    <w:qFormat/>
    <w:rsid w:val="00DA095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95E"/>
    <w:rPr>
      <w:b/>
    </w:rPr>
  </w:style>
  <w:style w:type="character" w:styleId="IntenseReference">
    <w:name w:val="Intense Reference"/>
    <w:uiPriority w:val="32"/>
    <w:qFormat/>
    <w:rsid w:val="00DA095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95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95E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DA09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9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6F3"/>
  </w:style>
  <w:style w:type="paragraph" w:styleId="Footer">
    <w:name w:val="footer"/>
    <w:basedOn w:val="Normal"/>
    <w:link w:val="FooterChar"/>
    <w:uiPriority w:val="99"/>
    <w:unhideWhenUsed/>
    <w:rsid w:val="00066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6F3"/>
  </w:style>
  <w:style w:type="table" w:styleId="TableGrid">
    <w:name w:val="Table Grid"/>
    <w:basedOn w:val="TableNormal"/>
    <w:uiPriority w:val="59"/>
    <w:rsid w:val="00435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35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AF7DF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DFD"/>
  </w:style>
  <w:style w:type="character" w:styleId="FootnoteReference">
    <w:name w:val="footnote reference"/>
    <w:basedOn w:val="DefaultParagraphFont"/>
    <w:uiPriority w:val="99"/>
    <w:semiHidden/>
    <w:unhideWhenUsed/>
    <w:rsid w:val="00AF7D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ECC31165CB4FC39FD08E2A63440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48CDC-03FF-44B4-BBEF-104571E525F8}"/>
      </w:docPartPr>
      <w:docPartBody>
        <w:p w:rsidR="006C6798" w:rsidRDefault="006C6798">
          <w:r w:rsidRPr="00AC48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98"/>
    <w:rsid w:val="00207AD1"/>
    <w:rsid w:val="002256E5"/>
    <w:rsid w:val="002D1D35"/>
    <w:rsid w:val="00404E60"/>
    <w:rsid w:val="00507EA6"/>
    <w:rsid w:val="00532668"/>
    <w:rsid w:val="006C6798"/>
    <w:rsid w:val="00703728"/>
    <w:rsid w:val="008350B3"/>
    <w:rsid w:val="008C6010"/>
    <w:rsid w:val="008D62E9"/>
    <w:rsid w:val="009B7D93"/>
    <w:rsid w:val="00BF591E"/>
    <w:rsid w:val="00E5397B"/>
    <w:rsid w:val="00E53B62"/>
    <w:rsid w:val="00F30195"/>
    <w:rsid w:val="00F5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BF591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7A9792E7004A5A80B4C16161FF708E">
    <w:name w:val="577A9792E7004A5A80B4C16161FF708E"/>
    <w:rsid w:val="006C6798"/>
  </w:style>
  <w:style w:type="paragraph" w:customStyle="1" w:styleId="297CE5EB495B44408D104193460FFB41">
    <w:name w:val="297CE5EB495B44408D104193460FFB41"/>
    <w:rsid w:val="006C6798"/>
  </w:style>
  <w:style w:type="character" w:styleId="PlaceholderText">
    <w:name w:val="Placeholder Text"/>
    <w:basedOn w:val="DefaultParagraphFont"/>
    <w:uiPriority w:val="99"/>
    <w:semiHidden/>
    <w:rsid w:val="00BF59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Joh01</b:Tag>
    <b:SourceType>Book</b:SourceType>
    <b:Guid>{57A3B6A2-CFAB-4CB7-B06D-59281C545F81}</b:Guid>
    <b:Author>
      <b:Author>
        <b:NameList>
          <b:Person>
            <b:Last>John Lamarsh</b:Last>
            <b:First>Anthony</b:First>
            <b:Middle>Baratta</b:Middle>
          </b:Person>
        </b:NameList>
      </b:Author>
    </b:Author>
    <b:Title>Introduction to Nuclear Engineering</b:Title>
    <b:Year>2001</b:Year>
    <b:City>Upper Saddle River, NJ</b:City>
    <b:Publisher>Prentice Hall</b:Publisher>
    <b:Edition>3</b:Edition>
    <b:RefOrder>1</b:RefOrder>
  </b:Source>
</b:Sources>
</file>

<file path=customXml/itemProps1.xml><?xml version="1.0" encoding="utf-8"?>
<ds:datastoreItem xmlns:ds="http://schemas.openxmlformats.org/officeDocument/2006/customXml" ds:itemID="{0B7FC54F-24BA-4A42-BB7C-3D7E8E84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402 HMWK 8</vt:lpstr>
    </vt:vector>
  </TitlesOfParts>
  <Company>Grizli777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402 HMWK 8</dc:title>
  <dc:creator>Alex Hagen</dc:creator>
  <cp:lastModifiedBy>Alex Hagen</cp:lastModifiedBy>
  <cp:revision>25</cp:revision>
  <cp:lastPrinted>2011-09-14T03:55:00Z</cp:lastPrinted>
  <dcterms:created xsi:type="dcterms:W3CDTF">2011-10-24T14:47:00Z</dcterms:created>
  <dcterms:modified xsi:type="dcterms:W3CDTF">2011-11-09T15:05:00Z</dcterms:modified>
</cp:coreProperties>
</file>