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before="0"/>
        <w:jc w:val="right"/>
      </w:pPr>
      <w:r>
        <w:rPr>
          <w:rFonts w:ascii="Verdana" w:hAnsi="Verdana"/>
          <w:i w:val="0"/>
          <w:sz w:val="20"/>
        </w:rPr>
        <w:t>[your student ID]</w:t>
      </w:r>
    </w:p>
    <w:p>
      <w:pPr>
        <w:spacing w:line="360" w:lineRule="auto" w:after="120" w:before="0"/>
        <w:jc w:val="right"/>
      </w:pPr>
      <w:r>
        <w:rPr>
          <w:rFonts w:ascii="Verdana" w:hAnsi="Verdana"/>
          <w:i w:val="0"/>
          <w:sz w:val="22"/>
        </w:rPr>
        <w:t>Instrumental Rational Choice application exercise</w:t>
      </w:r>
    </w:p>
    <w:p>
      <w:pPr>
        <w:spacing w:line="360" w:lineRule="auto" w:after="120" w:before="0"/>
        <w:jc w:val="right"/>
      </w:pPr>
      <w:r>
        <w:rPr>
          <w:rFonts w:ascii="Verdana" w:hAnsi="Verdana"/>
          <w:i w:val="0"/>
          <w:sz w:val="20"/>
        </w:rPr>
        <w:t>Word count: 294</w:t>
      </w:r>
    </w:p>
    <w:p>
      <w:pPr>
        <w:spacing w:line="360" w:lineRule="auto" w:after="120" w:before="0"/>
      </w:pPr>
      <w:r>
        <w:rPr>
          <w:rFonts w:ascii="Verdana" w:hAnsi="Verdana"/>
          <w:b/>
          <w:sz w:val="22"/>
        </w:rPr>
        <w:t xml:space="preserve">Decision: </w:t>
      </w:r>
      <w:r>
        <w:rPr>
          <w:rFonts w:ascii="Verdana" w:hAnsi="Verdana"/>
          <w:i w:val="0"/>
          <w:sz w:val="22"/>
        </w:rPr>
        <w:t>In autumn 2026 I withdrew from final-round interviews at Marshall Wace, a fund accountant role worth £120,000 against £38,000 at PwC.</w:t>
      </w:r>
    </w:p>
    <w:p>
      <w:pPr>
        <w:spacing w:line="360" w:lineRule="auto" w:after="120" w:before="0"/>
      </w:pPr>
      <w:r>
        <w:rPr>
          <w:rFonts w:ascii="Verdana" w:hAnsi="Verdana"/>
          <w:b/>
          <w:sz w:val="22"/>
        </w:rPr>
        <w:t xml:space="preserve">Action: </w:t>
      </w:r>
      <w:r>
        <w:rPr>
          <w:rFonts w:ascii="Verdana" w:hAnsi="Verdana"/>
          <w:i w:val="0"/>
          <w:sz w:val="22"/>
        </w:rPr>
        <w:t>Accept, losing my placement, degree and ACA; or decline. A third existed: ask Marshall Wace to hold the role eight months. I never raised it, on the phone to them.</w:t>
      </w:r>
    </w:p>
    <w:p>
      <w:pPr>
        <w:spacing w:line="360" w:lineRule="auto" w:after="120" w:before="0"/>
      </w:pPr>
      <w:r>
        <w:rPr>
          <w:rFonts w:ascii="Verdana" w:hAnsi="Verdana"/>
          <w:b/>
          <w:sz w:val="22"/>
        </w:rPr>
        <w:t>Preferences:</w:t>
      </w:r>
    </w:p>
    <w:p>
      <w:pPr>
        <w:pStyle w:val="ListBullet"/>
        <w:spacing w:line="360" w:lineRule="auto" w:after="120" w:before="0"/>
      </w:pPr>
      <w:r>
        <w:rPr>
          <w:rFonts w:ascii="Verdana" w:hAnsi="Verdana"/>
          <w:i w:val="0"/>
          <w:sz w:val="22"/>
        </w:rPr>
        <w:t>Financial security</w:t>
      </w:r>
    </w:p>
    <w:p>
      <w:pPr>
        <w:pStyle w:val="ListBullet"/>
        <w:spacing w:line="360" w:lineRule="auto" w:after="120" w:before="0"/>
      </w:pPr>
      <w:r>
        <w:rPr>
          <w:rFonts w:ascii="Verdana" w:hAnsi="Verdana"/>
          <w:i w:val="0"/>
          <w:sz w:val="22"/>
        </w:rPr>
        <w:t>The ACA</w:t>
      </w:r>
    </w:p>
    <w:p>
      <w:pPr>
        <w:pStyle w:val="ListBullet"/>
        <w:spacing w:line="360" w:lineRule="auto" w:after="120" w:before="0"/>
      </w:pPr>
      <w:r>
        <w:rPr>
          <w:rFonts w:ascii="Verdana" w:hAnsi="Verdana"/>
          <w:i w:val="0"/>
          <w:sz w:val="22"/>
        </w:rPr>
        <w:t>Worthwhile work</w:t>
      </w:r>
    </w:p>
    <w:p>
      <w:pPr>
        <w:pStyle w:val="ListBullet"/>
        <w:spacing w:line="360" w:lineRule="auto" w:after="120" w:before="0"/>
      </w:pPr>
      <w:r>
        <w:rPr>
          <w:rFonts w:ascii="Verdana" w:hAnsi="Verdana"/>
          <w:i w:val="0"/>
          <w:sz w:val="22"/>
        </w:rPr>
        <w:t>A career not narrowed at twenty-one</w:t>
      </w:r>
    </w:p>
    <w:p>
      <w:pPr>
        <w:spacing w:line="360" w:lineRule="auto" w:after="120" w:before="0"/>
      </w:pPr>
      <w:r>
        <w:rPr>
          <w:rFonts w:ascii="Verdana" w:hAnsi="Verdana"/>
          <w:b/>
          <w:sz w:val="22"/>
        </w:rPr>
        <w:t>Evidence:</w:t>
      </w:r>
    </w:p>
    <w:p>
      <w:pPr>
        <w:pStyle w:val="ListBullet"/>
        <w:spacing w:line="360" w:lineRule="auto" w:after="120" w:before="0"/>
      </w:pPr>
      <w:r>
        <w:rPr>
          <w:rFonts w:ascii="Verdana" w:hAnsi="Verdana"/>
          <w:i w:val="0"/>
          <w:sz w:val="22"/>
        </w:rPr>
        <w:t>Pay: headline only, £120,000 against £38,000.</w:t>
      </w:r>
    </w:p>
    <w:p>
      <w:pPr>
        <w:pStyle w:val="ListBullet"/>
        <w:spacing w:line="360" w:lineRule="auto" w:after="120" w:before="0"/>
      </w:pPr>
      <w:r>
        <w:rPr>
          <w:rFonts w:ascii="Verdana" w:hAnsi="Verdana"/>
          <w:i w:val="0"/>
          <w:sz w:val="22"/>
        </w:rPr>
        <w:t>Tax: the real gap is £37,898; the £40,000 bonus is worth £15,600.</w:t>
      </w:r>
    </w:p>
    <w:p>
      <w:pPr>
        <w:pStyle w:val="ListBullet"/>
        <w:spacing w:line="360" w:lineRule="auto" w:after="120" w:before="0"/>
      </w:pPr>
      <w:r>
        <w:rPr>
          <w:rFonts w:ascii="Verdana" w:hAnsi="Verdana"/>
          <w:i w:val="0"/>
          <w:sz w:val="22"/>
        </w:rPr>
        <w:t>Hours: sixty against forty; 3.2 times becomes 1.5 net hourly.</w:t>
      </w:r>
    </w:p>
    <w:p>
      <w:pPr>
        <w:pStyle w:val="ListBullet"/>
        <w:spacing w:line="360" w:lineRule="auto" w:after="120" w:before="0"/>
      </w:pPr>
      <w:r>
        <w:rPr>
          <w:rFonts w:ascii="Verdana" w:hAnsi="Verdana"/>
          <w:i w:val="0"/>
          <w:sz w:val="22"/>
        </w:rPr>
        <w:t>Qualification: the ACA travels, the role is niche.</w:t>
      </w:r>
    </w:p>
    <w:p>
      <w:pPr>
        <w:pStyle w:val="ListBullet"/>
        <w:spacing w:line="360" w:lineRule="auto" w:after="120" w:before="0"/>
      </w:pPr>
      <w:r>
        <w:rPr>
          <w:rFonts w:ascii="Verdana" w:hAnsi="Verdana"/>
          <w:i w:val="0"/>
          <w:sz w:val="22"/>
        </w:rPr>
        <w:t>Search: twenty minutes of arithmetic, not done.</w:t>
      </w:r>
    </w:p>
    <w:p>
      <w:pPr>
        <w:jc w:val="center"/>
      </w:pPr>
      <w:r>
        <w:drawing>
          <wp:inline xmlns:a="http://schemas.openxmlformats.org/drawingml/2006/main" xmlns:pic="http://schemas.openxmlformats.org/drawingml/2006/picture">
            <wp:extent cx="5400000" cy="2040000"/>
            <wp:docPr id="1" name="Picture 1"/>
            <wp:cNvGraphicFramePr>
              <a:graphicFrameLocks noChangeAspect="1"/>
            </wp:cNvGraphicFramePr>
            <a:graphic>
              <a:graphicData uri="http://schemas.openxmlformats.org/drawingml/2006/picture">
                <pic:pic>
                  <pic:nvPicPr>
                    <pic:cNvPr id="0" name="figure-2-headline-vs-net.png"/>
                    <pic:cNvPicPr/>
                  </pic:nvPicPr>
                  <pic:blipFill>
                    <a:blip r:embed="rId9"/>
                    <a:stretch>
                      <a:fillRect/>
                    </a:stretch>
                  </pic:blipFill>
                  <pic:spPr>
                    <a:xfrm>
                      <a:off x="0" y="0"/>
                      <a:ext cx="5400000" cy="2040000"/>
                    </a:xfrm>
                    <a:prstGeom prst="rect"/>
                  </pic:spPr>
                </pic:pic>
              </a:graphicData>
            </a:graphic>
          </wp:inline>
        </w:drawing>
      </w:r>
    </w:p>
    <w:p>
      <w:pPr>
        <w:spacing w:line="360" w:lineRule="auto" w:after="120" w:before="0"/>
      </w:pPr>
      <w:r>
        <w:rPr>
          <w:rFonts w:ascii="Verdana" w:hAnsi="Verdana"/>
          <w:i/>
          <w:color w:val="595959"/>
          <w:sz w:val="18"/>
        </w:rPr>
        <w:t>Figure 1: believed gap against real gap.</w:t>
      </w:r>
    </w:p>
    <w:p>
      <w:pPr>
        <w:spacing w:line="360" w:lineRule="auto" w:after="120" w:before="0"/>
      </w:pPr>
      <w:r>
        <w:rPr>
          <w:rFonts w:ascii="Verdana" w:hAnsi="Verdana"/>
          <w:b/>
          <w:sz w:val="22"/>
        </w:rPr>
        <w:t xml:space="preserve">Expectations: </w:t>
      </w:r>
      <w:r>
        <w:rPr>
          <w:rFonts w:ascii="Verdana" w:hAnsi="Verdana"/>
          <w:i w:val="0"/>
          <w:sz w:val="22"/>
        </w:rPr>
        <w:t>I expected an £80,000 advantage and sixty-hour weeks. The second was right, the first wrong by half. I never tested whether they would wait.</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
              <w:rPr>
                <w:rFonts w:ascii="Verdana" w:hAnsi="Verdana"/>
                <w:b/>
                <w:sz w:val="20"/>
              </w:rPr>
              <w:t>Preference</w:t>
            </w:r>
          </w:p>
        </w:tc>
        <w:tc>
          <w:tcPr>
            <w:tcW w:type="dxa" w:w="3135"/>
          </w:tcPr>
          <w:p>
            <w:pPr>
              <w:spacing w:line="240" w:lineRule="auto" w:after="40"/>
            </w:pPr>
            <w:r/>
            <w:r>
              <w:rPr>
                <w:rFonts w:ascii="Verdana" w:hAnsi="Verdana"/>
                <w:b/>
                <w:sz w:val="20"/>
              </w:rPr>
              <w:t>Marshall Wace</w:t>
            </w:r>
          </w:p>
        </w:tc>
        <w:tc>
          <w:tcPr>
            <w:tcW w:type="dxa" w:w="3135"/>
          </w:tcPr>
          <w:p>
            <w:pPr>
              <w:spacing w:line="240" w:lineRule="auto" w:after="40"/>
            </w:pPr>
            <w:r/>
            <w:r>
              <w:rPr>
                <w:rFonts w:ascii="Verdana" w:hAnsi="Verdana"/>
                <w:b/>
                <w:sz w:val="20"/>
              </w:rPr>
              <w:t>PwC</w:t>
            </w:r>
          </w:p>
        </w:tc>
      </w:tr>
      <w:tr>
        <w:tc>
          <w:tcPr>
            <w:tcW w:type="dxa" w:w="3135"/>
          </w:tcPr>
          <w:p>
            <w:pPr>
              <w:spacing w:line="240" w:lineRule="auto" w:after="40"/>
            </w:pPr>
            <w:r/>
            <w:r>
              <w:rPr>
                <w:rFonts w:ascii="Verdana" w:hAnsi="Verdana"/>
                <w:b/>
                <w:sz w:val="20"/>
              </w:rPr>
              <w:t>Security</w:t>
            </w:r>
          </w:p>
        </w:tc>
        <w:tc>
          <w:tcPr>
            <w:tcW w:type="dxa" w:w="3135"/>
          </w:tcPr>
          <w:p>
            <w:pPr>
              <w:spacing w:line="240" w:lineRule="auto" w:after="40"/>
            </w:pPr>
            <w:r/>
            <w:r>
              <w:rPr>
                <w:rFonts w:ascii="Verdana" w:hAnsi="Verdana"/>
                <w:b w:val="0"/>
                <w:sz w:val="20"/>
              </w:rPr>
              <w:t>+£37,898 net</w:t>
            </w:r>
          </w:p>
        </w:tc>
        <w:tc>
          <w:tcPr>
            <w:tcW w:type="dxa" w:w="3135"/>
          </w:tcPr>
          <w:p>
            <w:pPr>
              <w:spacing w:line="240" w:lineRule="auto" w:after="40"/>
            </w:pPr>
            <w:r/>
            <w:r>
              <w:rPr>
                <w:rFonts w:ascii="Verdana" w:hAnsi="Verdana"/>
                <w:b w:val="0"/>
                <w:sz w:val="20"/>
              </w:rPr>
              <w:t>certain</w:t>
            </w:r>
          </w:p>
        </w:tc>
      </w:tr>
      <w:tr>
        <w:tc>
          <w:tcPr>
            <w:tcW w:type="dxa" w:w="3135"/>
          </w:tcPr>
          <w:p>
            <w:pPr>
              <w:spacing w:line="240" w:lineRule="auto" w:after="40"/>
            </w:pPr>
            <w:r/>
            <w:r>
              <w:rPr>
                <w:rFonts w:ascii="Verdana" w:hAnsi="Verdana"/>
                <w:b/>
                <w:sz w:val="20"/>
              </w:rPr>
              <w:t>ACA</w:t>
            </w:r>
          </w:p>
        </w:tc>
        <w:tc>
          <w:tcPr>
            <w:tcW w:type="dxa" w:w="3135"/>
          </w:tcPr>
          <w:p>
            <w:pPr>
              <w:spacing w:line="240" w:lineRule="auto" w:after="40"/>
            </w:pPr>
            <w:r/>
            <w:r>
              <w:rPr>
                <w:rFonts w:ascii="Verdana" w:hAnsi="Verdana"/>
                <w:b w:val="0"/>
                <w:sz w:val="20"/>
              </w:rPr>
              <w:t>only likely</w:t>
            </w:r>
          </w:p>
        </w:tc>
        <w:tc>
          <w:tcPr>
            <w:tcW w:type="dxa" w:w="3135"/>
          </w:tcPr>
          <w:p>
            <w:pPr>
              <w:spacing w:line="240" w:lineRule="auto" w:after="40"/>
            </w:pPr>
            <w:r/>
            <w:r>
              <w:rPr>
                <w:rFonts w:ascii="Verdana" w:hAnsi="Verdana"/>
                <w:b w:val="0"/>
                <w:sz w:val="20"/>
              </w:rPr>
              <w:t>yes</w:t>
            </w:r>
          </w:p>
        </w:tc>
      </w:tr>
      <w:tr>
        <w:tc>
          <w:tcPr>
            <w:tcW w:type="dxa" w:w="3135"/>
          </w:tcPr>
          <w:p>
            <w:pPr>
              <w:spacing w:line="240" w:lineRule="auto" w:after="40"/>
            </w:pPr>
            <w:r/>
            <w:r>
              <w:rPr>
                <w:rFonts w:ascii="Verdana" w:hAnsi="Verdana"/>
                <w:b/>
                <w:sz w:val="20"/>
              </w:rPr>
              <w:t>Worthwhile work</w:t>
            </w:r>
          </w:p>
        </w:tc>
        <w:tc>
          <w:tcPr>
            <w:tcW w:type="dxa" w:w="3135"/>
          </w:tcPr>
          <w:p>
            <w:pPr>
              <w:spacing w:line="240" w:lineRule="auto" w:after="40"/>
            </w:pPr>
            <w:r/>
            <w:r>
              <w:rPr>
                <w:rFonts w:ascii="Verdana" w:hAnsi="Verdana"/>
                <w:b w:val="0"/>
                <w:sz w:val="20"/>
              </w:rPr>
              <w:t>yes</w:t>
            </w:r>
          </w:p>
        </w:tc>
        <w:tc>
          <w:tcPr>
            <w:tcW w:type="dxa" w:w="3135"/>
          </w:tcPr>
          <w:p>
            <w:pPr>
              <w:spacing w:line="240" w:lineRule="auto" w:after="40"/>
            </w:pPr>
            <w:r/>
            <w:r>
              <w:rPr>
                <w:rFonts w:ascii="Verdana" w:hAnsi="Verdana"/>
                <w:b w:val="0"/>
                <w:sz w:val="20"/>
              </w:rPr>
              <w:t>no</w:t>
            </w:r>
          </w:p>
        </w:tc>
      </w:tr>
      <w:tr>
        <w:tc>
          <w:tcPr>
            <w:tcW w:type="dxa" w:w="3135"/>
          </w:tcPr>
          <w:p>
            <w:pPr>
              <w:spacing w:line="240" w:lineRule="auto" w:after="40"/>
            </w:pPr>
            <w:r/>
            <w:r>
              <w:rPr>
                <w:rFonts w:ascii="Verdana" w:hAnsi="Verdana"/>
                <w:b/>
                <w:sz w:val="20"/>
              </w:rPr>
              <w:t>Career open</w:t>
            </w:r>
          </w:p>
        </w:tc>
        <w:tc>
          <w:tcPr>
            <w:tcW w:type="dxa" w:w="3135"/>
          </w:tcPr>
          <w:p>
            <w:pPr>
              <w:spacing w:line="240" w:lineRule="auto" w:after="40"/>
            </w:pPr>
            <w:r/>
            <w:r>
              <w:rPr>
                <w:rFonts w:ascii="Verdana" w:hAnsi="Verdana"/>
                <w:b w:val="0"/>
                <w:sz w:val="20"/>
              </w:rPr>
              <w:t>niche</w:t>
            </w:r>
          </w:p>
        </w:tc>
        <w:tc>
          <w:tcPr>
            <w:tcW w:type="dxa" w:w="3135"/>
          </w:tcPr>
          <w:p>
            <w:pPr>
              <w:spacing w:line="240" w:lineRule="auto" w:after="40"/>
            </w:pPr>
            <w:r/>
            <w:r>
              <w:rPr>
                <w:rFonts w:ascii="Verdana" w:hAnsi="Verdana"/>
                <w:b w:val="0"/>
                <w:sz w:val="20"/>
              </w:rPr>
              <w:t>portable</w:t>
            </w:r>
          </w:p>
        </w:tc>
      </w:tr>
    </w:tbl>
    <w:p>
      <w:pPr>
        <w:spacing w:line="360" w:lineRule="auto" w:after="120" w:before="0"/>
      </w:pPr>
    </w:p>
    <w:p>
      <w:pPr>
        <w:spacing w:line="360" w:lineRule="auto" w:after="120" w:before="0"/>
      </w:pPr>
      <w:r>
        <w:rPr>
          <w:rFonts w:ascii="Verdana" w:hAnsi="Verdana"/>
          <w:b/>
          <w:sz w:val="22"/>
        </w:rPr>
        <w:t xml:space="preserve">IRC Prediction: </w:t>
      </w:r>
      <w:r>
        <w:rPr>
          <w:rFonts w:ascii="Verdana" w:hAnsi="Verdana"/>
          <w:i w:val="0"/>
          <w:sz w:val="22"/>
        </w:rPr>
        <w:t>A rational agent with my preferences weighs £37,898 net against a portable qualification and twenty extra hours, and declines. But only after testing the deferral.</w:t>
      </w:r>
    </w:p>
    <w:p>
      <w:pPr>
        <w:spacing w:line="360" w:lineRule="auto" w:after="120" w:before="0"/>
      </w:pPr>
      <w:r>
        <w:rPr>
          <w:rFonts w:ascii="Verdana" w:hAnsi="Verdana"/>
          <w:b/>
          <w:sz w:val="22"/>
        </w:rPr>
        <w:t>Why my decision deviated:</w:t>
      </w:r>
    </w:p>
    <w:p>
      <w:pPr>
        <w:spacing w:line="360" w:lineRule="auto" w:after="120" w:before="0"/>
      </w:pPr>
      <w:r>
        <w:rPr>
          <w:rFonts w:ascii="Verdana" w:hAnsi="Verdana"/>
          <w:i w:val="0"/>
          <w:sz w:val="22"/>
        </w:rPr>
        <w:t>I withdrew. The outcome was probably right, the reasoning was not. Elster (2007, p. 191) asks that an action follow from the beliefs that justify it: doing right by accident is not reasoning well.</w:t>
      </w:r>
    </w:p>
    <w:p>
      <w:pPr>
        <w:pStyle w:val="ListBullet"/>
        <w:spacing w:line="360" w:lineRule="auto" w:after="120" w:before="0"/>
      </w:pPr>
      <w:r>
        <w:rPr>
          <w:rFonts w:ascii="Verdana" w:hAnsi="Verdana"/>
          <w:i w:val="0"/>
          <w:sz w:val="22"/>
        </w:rPr>
        <w:t>Evidence to expectations: the search stopped at the headline, so my figure was wrong by £44,102.</w:t>
      </w:r>
    </w:p>
    <w:p>
      <w:pPr>
        <w:pStyle w:val="ListBullet"/>
        <w:spacing w:line="360" w:lineRule="auto" w:after="120" w:before="0"/>
      </w:pPr>
      <w:r>
        <w:rPr>
          <w:rFonts w:ascii="Verdana" w:hAnsi="Verdana"/>
          <w:i w:val="0"/>
          <w:sz w:val="22"/>
        </w:rPr>
        <w:t>Expectations to action: that figure argued for accepting. I withdrew anyway.</w:t>
      </w:r>
    </w:p>
    <w:p>
      <w:pPr>
        <w:pStyle w:val="ListBullet"/>
        <w:spacing w:line="360" w:lineRule="auto" w:after="120" w:before="0"/>
      </w:pPr>
      <w:r>
        <w:rPr>
          <w:rFonts w:ascii="Verdana" w:hAnsi="Verdana"/>
          <w:i w:val="0"/>
          <w:sz w:val="22"/>
        </w:rPr>
        <w:t>Outside the model: what moved me was tuition already paid, spent either way.</w:t>
      </w:r>
    </w:p>
    <w:p>
      <w:pPr>
        <w:pStyle w:val="ListBullet"/>
        <w:spacing w:line="360" w:lineRule="auto" w:after="120" w:before="0"/>
      </w:pPr>
      <w:r>
        <w:rPr>
          <w:rFonts w:ascii="Verdana" w:hAnsi="Verdana"/>
          <w:i w:val="0"/>
          <w:sz w:val="22"/>
        </w:rPr>
        <w:t>The model's limit: it asks for the right amount of searching without saying what that is (Hargreaves Heap, 1992).</w:t>
      </w:r>
    </w:p>
    <w:p>
      <w:pPr>
        <w:jc w:val="center"/>
      </w:pPr>
      <w:r>
        <w:drawing>
          <wp:inline xmlns:a="http://schemas.openxmlformats.org/drawingml/2006/main" xmlns:pic="http://schemas.openxmlformats.org/drawingml/2006/picture">
            <wp:extent cx="5400000" cy="3857143"/>
            <wp:docPr id="2" name="Picture 2"/>
            <wp:cNvGraphicFramePr>
              <a:graphicFrameLocks noChangeAspect="1"/>
            </wp:cNvGraphicFramePr>
            <a:graphic>
              <a:graphicData uri="http://schemas.openxmlformats.org/drawingml/2006/picture">
                <pic:pic>
                  <pic:nvPicPr>
                    <pic:cNvPr id="0" name="figure-1-irc-components.png"/>
                    <pic:cNvPicPr/>
                  </pic:nvPicPr>
                  <pic:blipFill>
                    <a:blip r:embed="rId10"/>
                    <a:stretch>
                      <a:fillRect/>
                    </a:stretch>
                  </pic:blipFill>
                  <pic:spPr>
                    <a:xfrm>
                      <a:off x="0" y="0"/>
                      <a:ext cx="5400000" cy="3857143"/>
                    </a:xfrm>
                    <a:prstGeom prst="rect"/>
                  </pic:spPr>
                </pic:pic>
              </a:graphicData>
            </a:graphic>
          </wp:inline>
        </w:drawing>
      </w:r>
    </w:p>
    <w:p>
      <w:pPr>
        <w:spacing w:line="360" w:lineRule="auto" w:after="120" w:before="0"/>
      </w:pPr>
      <w:r>
        <w:rPr>
          <w:rFonts w:ascii="Verdana" w:hAnsi="Verdana"/>
          <w:i/>
          <w:color w:val="595959"/>
          <w:sz w:val="18"/>
        </w:rPr>
        <w:t>Figure 2: my decision mapped onto the model.</w:t>
      </w:r>
    </w:p>
    <w:p>
      <w:pPr>
        <w:spacing w:line="360" w:lineRule="auto" w:after="120" w:before="200"/>
      </w:pPr>
      <w:r>
        <w:rPr>
          <w:rFonts w:ascii="Verdana" w:hAnsi="Verdana"/>
          <w:b/>
          <w:sz w:val="22"/>
        </w:rPr>
        <w:t>References</w:t>
      </w:r>
    </w:p>
    <w:p>
      <w:pPr>
        <w:spacing w:line="360" w:lineRule="auto" w:after="120" w:before="0"/>
        <w:ind w:left="567" w:hanging="567"/>
      </w:pPr>
      <w:r>
        <w:rPr>
          <w:rFonts w:ascii="Verdana" w:hAnsi="Verdana"/>
          <w:i w:val="0"/>
          <w:sz w:val="20"/>
        </w:rPr>
        <w:t>Elster, J. (2007) Explaining Social Behavior: More Nuts and Bolts for the Social Sciences. Cambridge: Cambridge University Press.</w:t>
      </w:r>
    </w:p>
    <w:p>
      <w:pPr>
        <w:spacing w:line="360" w:lineRule="auto" w:after="120" w:before="0"/>
        <w:ind w:left="567" w:hanging="567"/>
      </w:pPr>
      <w:r>
        <w:rPr>
          <w:rFonts w:ascii="Verdana" w:hAnsi="Verdana"/>
          <w:i w:val="0"/>
          <w:sz w:val="20"/>
        </w:rPr>
        <w:t>Hargreaves Heap, S., Hollis, M., Lyons, B., Sugden, R. and Weale, A. (1992) The Theory of Choice: A Critical Guide. Oxford: Blackwell.</w:t>
      </w:r>
    </w:p>
    <w:p>
      <w:pPr>
        <w:sectPr>
          <w:pgSz w:w="12240" w:h="15840"/>
          <w:pgMar w:top="1417" w:right="1417" w:bottom="1417" w:left="1417" w:header="720" w:footer="720" w:gutter="0"/>
          <w:cols w:space="720"/>
          <w:docGrid w:linePitch="360"/>
        </w:sectPr>
      </w:pPr>
    </w:p>
    <w:p>
      <w:pPr>
        <w:spacing w:line="360" w:lineRule="auto" w:after="120"/>
      </w:pPr>
      <w:r>
        <w:rPr>
          <w:rFonts w:ascii="Verdana" w:hAnsi="Verdana"/>
          <w:b/>
          <w:sz w:val="22"/>
        </w:rPr>
        <w:t>Appendix: Generative AI prompts</w:t>
      </w:r>
    </w:p>
    <w:p>
      <w:pPr>
        <w:spacing w:line="360" w:lineRule="auto" w:after="120"/>
      </w:pPr>
      <w:r>
        <w:rPr>
          <w:rFonts w:ascii="Verdana" w:hAnsi="Verdana"/>
          <w:b w:val="0"/>
          <w:sz w:val="20"/>
        </w:rPr>
        <w:t>Generative AI (Claude, Anthropic) was used during the preparation of this submission. The prompts below are listed in the order they were used. Lightly tidied for spelling only; wording and content are unchanged.</w:t>
      </w:r>
    </w:p>
    <w:p>
      <w:pPr>
        <w:spacing w:line="360" w:lineRule="auto" w:after="120"/>
      </w:pPr>
      <w:r>
        <w:rPr>
          <w:rFonts w:ascii="Verdana" w:hAnsi="Verdana"/>
          <w:b w:val="0"/>
          <w:sz w:val="22"/>
        </w:rPr>
      </w:r>
    </w:p>
    <w:p>
      <w:pPr>
        <w:spacing w:line="360" w:lineRule="auto" w:after="160"/>
        <w:ind w:left="567" w:hanging="567"/>
      </w:pPr>
      <w:r>
        <w:rPr>
          <w:rFonts w:ascii="Verdana" w:hAnsi="Verdana"/>
          <w:b w:val="0"/>
          <w:sz w:val="20"/>
        </w:rPr>
        <w:t>1.  I want you to understand the task at hand. Don't do anything yet, but I want you to start to create a knowledge base with everything documented in the right areas, prioritising important information so we can build a framework on which we can develop, articulate and explore the content provided in this module. I will start to upload all the course material as well as the further reading sources. Start to map out key frameworks and ideas to use in our study.</w:t>
      </w:r>
    </w:p>
    <w:p>
      <w:pPr>
        <w:spacing w:line="360" w:lineRule="auto" w:after="160"/>
        <w:ind w:left="567" w:hanging="567"/>
      </w:pPr>
      <w:r>
        <w:rPr>
          <w:rFonts w:ascii="Verdana" w:hAnsi="Verdana"/>
          <w:b w:val="0"/>
          <w:sz w:val="20"/>
        </w:rPr>
        <w:t>2.  I will start to upload each week's content one by one. [Week 1 lecture slides, Elster chapter 11, Hargreaves Heap chapter 1.] This does not mean you have to go research every one of them, but it would be nice to include some of their core beliefs and concepts. I would like you to analyse each single one and pick out one or two things you like about them.</w:t>
      </w:r>
    </w:p>
    <w:p>
      <w:pPr>
        <w:spacing w:line="360" w:lineRule="auto" w:after="160"/>
        <w:ind w:left="567" w:hanging="567"/>
      </w:pPr>
      <w:r>
        <w:rPr>
          <w:rFonts w:ascii="Verdana" w:hAnsi="Verdana"/>
          <w:b w:val="0"/>
          <w:sz w:val="20"/>
        </w:rPr>
        <w:t>3.  [Week 2 lecture slides and four example assessments.] This week we continue to look at Elster's IRC model and introduce research methods.</w:t>
      </w:r>
    </w:p>
    <w:p>
      <w:pPr>
        <w:spacing w:line="360" w:lineRule="auto" w:after="160"/>
        <w:ind w:left="567" w:hanging="567"/>
      </w:pPr>
      <w:r>
        <w:rPr>
          <w:rFonts w:ascii="Verdana" w:hAnsi="Verdana"/>
          <w:b w:val="0"/>
          <w:sz w:val="20"/>
        </w:rPr>
        <w:t>4.  These are the further reading tasks. When absorbing ideas or frameworks to later use in our essay, we want to make sure we accurately note down the sources, references, page number, paragraph, where in the text etc.</w:t>
      </w:r>
    </w:p>
    <w:p>
      <w:pPr>
        <w:spacing w:line="360" w:lineRule="auto" w:after="160"/>
        <w:ind w:left="567" w:hanging="567"/>
      </w:pPr>
      <w:r>
        <w:rPr>
          <w:rFonts w:ascii="Verdana" w:hAnsi="Verdana"/>
          <w:b w:val="0"/>
          <w:sz w:val="20"/>
        </w:rPr>
        <w:t>5.  Let's start to draft up some conclusion with all the information we have so far. Explain everything else outstanding simply.</w:t>
      </w:r>
    </w:p>
    <w:p>
      <w:pPr>
        <w:spacing w:line="360" w:lineRule="auto" w:after="160"/>
        <w:ind w:left="567" w:hanging="567"/>
      </w:pPr>
      <w:r>
        <w:rPr>
          <w:rFonts w:ascii="Verdana" w:hAnsi="Verdana"/>
          <w:b w:val="0"/>
          <w:sz w:val="20"/>
        </w:rPr>
        <w:t>6.  There is one more lecture left. Hold these six questions, ask me in a bit.</w:t>
      </w:r>
    </w:p>
    <w:p>
      <w:pPr>
        <w:spacing w:line="360" w:lineRule="auto" w:after="160"/>
        <w:ind w:left="567" w:hanging="567"/>
      </w:pPr>
      <w:r>
        <w:rPr>
          <w:rFonts w:ascii="Verdana" w:hAnsi="Verdana"/>
          <w:b w:val="0"/>
          <w:sz w:val="20"/>
        </w:rPr>
        <w:t>7.  [Answers to the six questions about an iPhone 17 Pro purchase.] Search up the cost on release in the UK.</w:t>
      </w:r>
    </w:p>
    <w:p>
      <w:pPr>
        <w:spacing w:line="360" w:lineRule="auto" w:after="160"/>
        <w:ind w:left="567" w:hanging="567"/>
      </w:pPr>
      <w:r>
        <w:rPr>
          <w:rFonts w:ascii="Verdana" w:hAnsi="Verdana"/>
          <w:b w:val="0"/>
          <w:sz w:val="20"/>
        </w:rPr>
        <w:t>8.  Repair the battery could have been an original repair from Apple or an aftermarket repair which was cheaper. You got the price right and the storage right. For these 300 words do we not have to reference cases, sources etc?</w:t>
      </w:r>
    </w:p>
    <w:p>
      <w:pPr>
        <w:spacing w:line="360" w:lineRule="auto" w:after="160"/>
        <w:ind w:left="567" w:hanging="567"/>
      </w:pPr>
      <w:r>
        <w:rPr>
          <w:rFonts w:ascii="Verdana" w:hAnsi="Verdana"/>
          <w:b w:val="0"/>
          <w:sz w:val="20"/>
        </w:rPr>
        <w:t>9.  This is what we are going to do. We are going to change my scenario and make it complex. I am going to give basic facts and feelings, then you can explore how to make this situation more complex: is the increase really that much after different tax brackets, the forgone cost, economic opportunity cost, wasted money, using discount rates, or saving the money and investing it instead. [Facts about a Marshall Wace offer against my PwC apprenticeship.]</w:t>
      </w:r>
    </w:p>
    <w:p>
      <w:pPr>
        <w:spacing w:line="360" w:lineRule="auto" w:after="160"/>
        <w:ind w:left="567" w:hanging="567"/>
      </w:pPr>
      <w:r>
        <w:rPr>
          <w:rFonts w:ascii="Verdana" w:hAnsi="Verdana"/>
          <w:b w:val="0"/>
          <w:sz w:val="20"/>
        </w:rPr>
        <w:t>10.  I turned Marshall Wace down. I didn't run the numbers, I just looked at the headline figures, thinking 120k minus 40k difference, and also the sunk cost, but you said this is not in the framework. When I reached the final stages of the interviews I spoke to the hiring manager and declined progressing any further, due to my commitments with PwC and aspiring to be ACA qualified.</w:t>
      </w:r>
    </w:p>
    <w:p>
      <w:pPr>
        <w:spacing w:line="360" w:lineRule="auto" w:after="160"/>
        <w:ind w:left="567" w:hanging="567"/>
      </w:pPr>
      <w:r>
        <w:rPr>
          <w:rFonts w:ascii="Verdana" w:hAnsi="Verdana"/>
          <w:b w:val="0"/>
          <w:sz w:val="20"/>
        </w:rPr>
        <w:t>11.  Using the marking rubric, and being more conservative with the markers, where would you score the current version? What areas are good, what areas are bad, and how will we improve?</w:t>
      </w:r>
    </w:p>
    <w:p>
      <w:pPr>
        <w:spacing w:line="360" w:lineRule="auto" w:after="160"/>
        <w:ind w:left="567" w:hanging="567"/>
      </w:pPr>
      <w:r>
        <w:rPr>
          <w:rFonts w:ascii="Verdana" w:hAnsi="Verdana"/>
          <w:b w:val="0"/>
          <w:sz w:val="20"/>
        </w:rPr>
        <w:t>12.  This is a first class example. Analyse the language and the flow.</w:t>
      </w:r>
    </w:p>
    <w:p>
      <w:pPr>
        <w:spacing w:line="360" w:lineRule="auto" w:after="160"/>
        <w:ind w:left="567" w:hanging="567"/>
      </w:pPr>
      <w:r>
        <w:rPr>
          <w:rFonts w:ascii="Verdana" w:hAnsi="Verdana"/>
          <w:b w:val="0"/>
          <w:sz w:val="20"/>
        </w:rPr>
        <w:t>13.  Now look at this, this is another answer. Can we analyse this and score it against the rubric and our current version?</w:t>
      </w:r>
    </w:p>
    <w:p>
      <w:pPr>
        <w:spacing w:line="360" w:lineRule="auto" w:after="160"/>
        <w:ind w:left="567" w:hanging="567"/>
      </w:pPr>
      <w:r>
        <w:rPr>
          <w:rFonts w:ascii="Verdana" w:hAnsi="Verdana"/>
          <w:b w:val="0"/>
          <w:sz w:val="20"/>
        </w:rPr>
        <w:t>14.  I did not ask about deferring, actually. This was an option I did not explore until I spoke to my parents. Can you go through all the content, lecture notes and wider reading and see if we missed anything to include? Double check this properly. Then compare it to the two exemplars I showed you, and reproduce it with your findings to achieve high marks against the rubric. Also start recreating some of these visuals and diagrams, and when you go through the lecture notes highlight the diagrams, graphs or tables they used, as we should use these in our work.</w:t>
      </w:r>
    </w:p>
    <w:p>
      <w:pPr>
        <w:spacing w:line="360" w:lineRule="auto" w:after="160"/>
        <w:ind w:left="567" w:hanging="567"/>
      </w:pPr>
      <w:r>
        <w:rPr>
          <w:rFonts w:ascii="Verdana" w:hAnsi="Verdana"/>
          <w:b w:val="0"/>
          <w:sz w:val="20"/>
        </w:rPr>
        <w:t>15.  You are getting very technical now. Let's slow down. I don't want to use my lecturer's own words, I want to use his framework and way of thinking, so make sure it is not his words. Put simply what areas of my thinking are good, what's bad, and what's missing for the high marks.</w:t>
      </w:r>
    </w:p>
    <w:p>
      <w:pPr>
        <w:spacing w:line="360" w:lineRule="auto" w:after="160"/>
        <w:ind w:left="567" w:hanging="567"/>
      </w:pPr>
      <w:r>
        <w:rPr>
          <w:rFonts w:ascii="Verdana" w:hAnsi="Verdana"/>
          <w:b w:val="0"/>
          <w:sz w:val="20"/>
        </w:rPr>
        <w:t>16.  I don't like these weaknesses. Will including them improve my grade, or does including them show I reflected on my experience using the framework? Let's build this out and include it.</w:t>
      </w:r>
    </w:p>
    <w:p>
      <w:pPr>
        <w:spacing w:line="360" w:lineRule="auto" w:after="160"/>
        <w:ind w:left="567" w:hanging="567"/>
      </w:pPr>
      <w:r>
        <w:rPr>
          <w:rFonts w:ascii="Verdana" w:hAnsi="Verdana"/>
          <w:b w:val="0"/>
          <w:sz w:val="20"/>
        </w:rPr>
        <w:t>17.  Did you include this? [Referring to two improvements previously identified: showing how the components connect, and stating where the model itself falls short.]</w:t>
      </w:r>
    </w:p>
    <w:p>
      <w:pPr>
        <w:spacing w:line="360" w:lineRule="auto" w:after="160"/>
        <w:ind w:left="567" w:hanging="567"/>
      </w:pPr>
      <w:r>
        <w:rPr>
          <w:rFonts w:ascii="Verdana" w:hAnsi="Verdana"/>
          <w:b w:val="0"/>
          <w:sz w:val="20"/>
        </w:rPr>
        <w:t>18.  Can we lay it out something like this? [Second example assessment.]</w:t>
      </w:r>
    </w:p>
    <w:p>
      <w:pPr>
        <w:spacing w:line="360" w:lineRule="auto" w:after="160"/>
        <w:ind w:left="567" w:hanging="567"/>
      </w:pPr>
      <w:r>
        <w:rPr>
          <w:rFonts w:ascii="Verdana" w:hAnsi="Verdana"/>
          <w:b w:val="0"/>
          <w:sz w:val="20"/>
        </w:rPr>
        <w:t>19.  I mean the general layout, not exactly.</w:t>
      </w:r>
    </w:p>
    <w:p>
      <w:pPr>
        <w:spacing w:line="360" w:lineRule="auto" w:after="160"/>
        <w:ind w:left="567" w:hanging="567"/>
      </w:pPr>
      <w:r>
        <w:rPr>
          <w:rFonts w:ascii="Verdana" w:hAnsi="Verdana"/>
          <w:b w:val="0"/>
          <w:sz w:val="20"/>
        </w:rPr>
        <w:t>20.  Let's talk about the AI appendix. How is this supposed to look, and what are his rules around AI?</w:t>
      </w:r>
    </w:p>
    <w:p>
      <w:pPr>
        <w:spacing w:line="360" w:lineRule="auto" w:after="160"/>
        <w:ind w:left="567" w:hanging="567"/>
      </w:pPr>
      <w:r>
        <w:rPr>
          <w:rFonts w:ascii="Verdana" w:hAnsi="Verdana"/>
          <w:b w:val="0"/>
          <w:sz w:val="20"/>
        </w:rPr>
        <w:t>21.  Explain simply and give me a list of prompts to use in the appendix.</w:t>
      </w:r>
    </w:p>
    <w:p>
      <w:pPr>
        <w:spacing w:line="360" w:lineRule="auto" w:after="120"/>
      </w:pPr>
      <w:r>
        <w:rPr>
          <w:rFonts w:ascii="Verdana" w:hAnsi="Verdana"/>
          <w:b w:val="0"/>
          <w:sz w:val="22"/>
        </w:rPr>
      </w:r>
    </w:p>
    <w:p>
      <w:pPr>
        <w:spacing w:line="360" w:lineRule="auto" w:after="120"/>
      </w:pPr>
      <w:r>
        <w:rPr>
          <w:rFonts w:ascii="Verdana" w:hAnsi="Verdana"/>
          <w:b w:val="0"/>
          <w:sz w:val="20"/>
        </w:rPr>
        <w:t>Scope of use: the decision analysed, the facts surrounding it and the corrections throughout are my own. The tax and opportunity-cost calculations, the figures, and much of the drafting were produced with AI assistance and reviewed by me.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Verdana" w:hAnsi="Verdan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