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 w:before="0"/>
        <w:jc w:val="right"/>
      </w:pPr>
      <w:r>
        <w:rPr>
          <w:rFonts w:ascii="Verdana" w:hAnsi="Verdana"/>
          <w:i w:val="0"/>
          <w:sz w:val="20"/>
        </w:rPr>
        <w:t>[your student ID]</w:t>
      </w:r>
    </w:p>
    <w:p>
      <w:pPr>
        <w:spacing w:line="360" w:lineRule="auto" w:after="120" w:before="0"/>
        <w:jc w:val="right"/>
      </w:pPr>
      <w:r>
        <w:rPr>
          <w:rFonts w:ascii="Verdana" w:hAnsi="Verdana"/>
          <w:i w:val="0"/>
          <w:sz w:val="22"/>
        </w:rPr>
        <w:t>Instrumental Rational Choice application exercise</w:t>
      </w:r>
    </w:p>
    <w:p>
      <w:pPr>
        <w:spacing w:line="360" w:lineRule="auto" w:after="120" w:before="0"/>
        <w:jc w:val="right"/>
      </w:pPr>
      <w:r>
        <w:rPr>
          <w:rFonts w:ascii="Verdana" w:hAnsi="Verdana"/>
          <w:i w:val="0"/>
          <w:sz w:val="20"/>
        </w:rPr>
        <w:t>Word count: 294</w:t>
      </w:r>
    </w:p>
    <w:p>
      <w:pPr>
        <w:spacing w:line="360" w:lineRule="auto" w:after="120" w:before="0"/>
      </w:pPr>
      <w:r>
        <w:rPr>
          <w:rFonts w:ascii="Verdana" w:hAnsi="Verdana"/>
          <w:b/>
          <w:sz w:val="22"/>
        </w:rPr>
        <w:t xml:space="preserve">Decision: </w:t>
      </w:r>
      <w:r>
        <w:rPr>
          <w:rFonts w:ascii="Verdana" w:hAnsi="Verdana"/>
          <w:i w:val="0"/>
          <w:sz w:val="22"/>
        </w:rPr>
        <w:t>In autumn 2026 I withdrew from final-round interviews at Marshall Wace, a fund accountant role worth £120,000 against £38,000 at PwC.</w:t>
      </w:r>
    </w:p>
    <w:p>
      <w:pPr>
        <w:spacing w:line="360" w:lineRule="auto" w:after="120" w:before="0"/>
      </w:pPr>
      <w:r>
        <w:rPr>
          <w:rFonts w:ascii="Verdana" w:hAnsi="Verdana"/>
          <w:b/>
          <w:sz w:val="22"/>
        </w:rPr>
        <w:t xml:space="preserve">Action: </w:t>
      </w:r>
      <w:r>
        <w:rPr>
          <w:rFonts w:ascii="Verdana" w:hAnsi="Verdana"/>
          <w:i w:val="0"/>
          <w:sz w:val="22"/>
        </w:rPr>
        <w:t>Accept, losing my placement, degree and ACA; or decline. A third existed: ask Marshall Wace to hold the role eight months. I never raised it, on the phone to them.</w:t>
      </w:r>
    </w:p>
    <w:p>
      <w:pPr>
        <w:spacing w:line="360" w:lineRule="auto" w:after="120" w:before="0"/>
      </w:pPr>
      <w:r>
        <w:rPr>
          <w:rFonts w:ascii="Verdana" w:hAnsi="Verdana"/>
          <w:b/>
          <w:sz w:val="22"/>
        </w:rPr>
        <w:t>Preferences:</w:t>
      </w:r>
    </w:p>
    <w:p>
      <w:pPr>
        <w:pStyle w:val="ListBullet"/>
        <w:spacing w:line="360" w:lineRule="auto" w:after="120" w:before="0"/>
      </w:pPr>
      <w:r>
        <w:rPr>
          <w:rFonts w:ascii="Verdana" w:hAnsi="Verdana"/>
          <w:i w:val="0"/>
          <w:sz w:val="22"/>
        </w:rPr>
        <w:t>Financial security</w:t>
      </w:r>
    </w:p>
    <w:p>
      <w:pPr>
        <w:pStyle w:val="ListBullet"/>
        <w:spacing w:line="360" w:lineRule="auto" w:after="120" w:before="0"/>
      </w:pPr>
      <w:r>
        <w:rPr>
          <w:rFonts w:ascii="Verdana" w:hAnsi="Verdana"/>
          <w:i w:val="0"/>
          <w:sz w:val="22"/>
        </w:rPr>
        <w:t>The ACA</w:t>
      </w:r>
    </w:p>
    <w:p>
      <w:pPr>
        <w:pStyle w:val="ListBullet"/>
        <w:spacing w:line="360" w:lineRule="auto" w:after="120" w:before="0"/>
      </w:pPr>
      <w:r>
        <w:rPr>
          <w:rFonts w:ascii="Verdana" w:hAnsi="Verdana"/>
          <w:i w:val="0"/>
          <w:sz w:val="22"/>
        </w:rPr>
        <w:t>Worthwhile work</w:t>
      </w:r>
    </w:p>
    <w:p>
      <w:pPr>
        <w:pStyle w:val="ListBullet"/>
        <w:spacing w:line="360" w:lineRule="auto" w:after="120" w:before="0"/>
      </w:pPr>
      <w:r>
        <w:rPr>
          <w:rFonts w:ascii="Verdana" w:hAnsi="Verdana"/>
          <w:i w:val="0"/>
          <w:sz w:val="22"/>
        </w:rPr>
        <w:t>A career not narrowed at twenty-one</w:t>
      </w:r>
    </w:p>
    <w:p>
      <w:pPr>
        <w:spacing w:line="360" w:lineRule="auto" w:after="120" w:before="0"/>
      </w:pPr>
      <w:r>
        <w:rPr>
          <w:rFonts w:ascii="Verdana" w:hAnsi="Verdana"/>
          <w:b/>
          <w:sz w:val="22"/>
        </w:rPr>
        <w:t>Evidence:</w:t>
      </w:r>
    </w:p>
    <w:p>
      <w:pPr>
        <w:pStyle w:val="ListBullet"/>
        <w:spacing w:line="360" w:lineRule="auto" w:after="120" w:before="0"/>
      </w:pPr>
      <w:r>
        <w:rPr>
          <w:rFonts w:ascii="Verdana" w:hAnsi="Verdana"/>
          <w:i w:val="0"/>
          <w:sz w:val="22"/>
        </w:rPr>
        <w:t>Pay: headline only, £120,000 against £38,000.</w:t>
      </w:r>
    </w:p>
    <w:p>
      <w:pPr>
        <w:pStyle w:val="ListBullet"/>
        <w:spacing w:line="360" w:lineRule="auto" w:after="120" w:before="0"/>
      </w:pPr>
      <w:r>
        <w:rPr>
          <w:rFonts w:ascii="Verdana" w:hAnsi="Verdana"/>
          <w:i w:val="0"/>
          <w:sz w:val="22"/>
        </w:rPr>
        <w:t>Tax: the real gap is £37,898; the £40,000 bonus is worth £15,600.</w:t>
      </w:r>
    </w:p>
    <w:p>
      <w:pPr>
        <w:pStyle w:val="ListBullet"/>
        <w:spacing w:line="360" w:lineRule="auto" w:after="120" w:before="0"/>
      </w:pPr>
      <w:r>
        <w:rPr>
          <w:rFonts w:ascii="Verdana" w:hAnsi="Verdana"/>
          <w:i w:val="0"/>
          <w:sz w:val="22"/>
        </w:rPr>
        <w:t>Hours: sixty against forty; 3.2 times becomes 1.5 net hourly.</w:t>
      </w:r>
    </w:p>
    <w:p>
      <w:pPr>
        <w:pStyle w:val="ListBullet"/>
        <w:spacing w:line="360" w:lineRule="auto" w:after="120" w:before="0"/>
      </w:pPr>
      <w:r>
        <w:rPr>
          <w:rFonts w:ascii="Verdana" w:hAnsi="Verdana"/>
          <w:i w:val="0"/>
          <w:sz w:val="22"/>
        </w:rPr>
        <w:t>Qualification: the ACA travels, the role is niche.</w:t>
      </w:r>
    </w:p>
    <w:p>
      <w:pPr>
        <w:pStyle w:val="ListBullet"/>
        <w:spacing w:line="360" w:lineRule="auto" w:after="120" w:before="0"/>
      </w:pPr>
      <w:r>
        <w:rPr>
          <w:rFonts w:ascii="Verdana" w:hAnsi="Verdana"/>
          <w:i w:val="0"/>
          <w:sz w:val="22"/>
        </w:rPr>
        <w:t>Search: twenty minutes of arithmetic, not done.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5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-headline-vs-n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 w:before="0"/>
      </w:pPr>
      <w:r>
        <w:rPr>
          <w:rFonts w:ascii="Verdana" w:hAnsi="Verdana"/>
          <w:i/>
          <w:color w:val="595959"/>
          <w:sz w:val="18"/>
        </w:rPr>
        <w:t>Figure 1: believed gap against real gap.</w:t>
      </w:r>
    </w:p>
    <w:p>
      <w:pPr>
        <w:spacing w:line="360" w:lineRule="auto" w:after="120" w:before="0"/>
      </w:pPr>
      <w:r>
        <w:rPr>
          <w:rFonts w:ascii="Verdana" w:hAnsi="Verdana"/>
          <w:b/>
          <w:sz w:val="22"/>
        </w:rPr>
        <w:t xml:space="preserve">Expectations: </w:t>
      </w:r>
      <w:r>
        <w:rPr>
          <w:rFonts w:ascii="Verdana" w:hAnsi="Verdana"/>
          <w:i w:val="0"/>
          <w:sz w:val="22"/>
        </w:rPr>
        <w:t>I expected an £80,000 advantage and sixty-hour weeks. The second was right, the first wrong by half. I never tested whether they would wait.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line="240" w:lineRule="auto" w:after="40"/>
            </w:pPr>
            <w:r/>
            <w:r>
              <w:rPr>
                <w:rFonts w:ascii="Verdana" w:hAnsi="Verdana"/>
                <w:b/>
                <w:sz w:val="20"/>
              </w:rPr>
              <w:t>Preference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/>
            <w:r>
              <w:rPr>
                <w:rFonts w:ascii="Verdana" w:hAnsi="Verdana"/>
                <w:b/>
                <w:sz w:val="20"/>
              </w:rPr>
              <w:t>Marshall Wace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/>
            <w:r>
              <w:rPr>
                <w:rFonts w:ascii="Verdana" w:hAnsi="Verdana"/>
                <w:b/>
                <w:sz w:val="20"/>
              </w:rPr>
              <w:t>PwC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</w:pPr>
            <w:r/>
            <w:r>
              <w:rPr>
                <w:rFonts w:ascii="Verdana" w:hAnsi="Verdana"/>
                <w:b/>
                <w:sz w:val="20"/>
              </w:rPr>
              <w:t>Security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/>
            <w:r>
              <w:rPr>
                <w:rFonts w:ascii="Verdana" w:hAnsi="Verdana"/>
                <w:b w:val="0"/>
                <w:sz w:val="20"/>
              </w:rPr>
              <w:t>+£37,898 net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/>
            <w:r>
              <w:rPr>
                <w:rFonts w:ascii="Verdana" w:hAnsi="Verdana"/>
                <w:b w:val="0"/>
                <w:sz w:val="20"/>
              </w:rPr>
              <w:t>certain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</w:pPr>
            <w:r/>
            <w:r>
              <w:rPr>
                <w:rFonts w:ascii="Verdana" w:hAnsi="Verdana"/>
                <w:b/>
                <w:sz w:val="20"/>
              </w:rPr>
              <w:t>ACA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/>
            <w:r>
              <w:rPr>
                <w:rFonts w:ascii="Verdana" w:hAnsi="Verdana"/>
                <w:b w:val="0"/>
                <w:sz w:val="20"/>
              </w:rPr>
              <w:t>only likely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/>
            <w:r>
              <w:rPr>
                <w:rFonts w:ascii="Verdana" w:hAnsi="Verdana"/>
                <w:b w:val="0"/>
                <w:sz w:val="20"/>
              </w:rPr>
              <w:t>yes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</w:pPr>
            <w:r/>
            <w:r>
              <w:rPr>
                <w:rFonts w:ascii="Verdana" w:hAnsi="Verdana"/>
                <w:b/>
                <w:sz w:val="20"/>
              </w:rPr>
              <w:t>Worthwhile work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/>
            <w:r>
              <w:rPr>
                <w:rFonts w:ascii="Verdana" w:hAnsi="Verdana"/>
                <w:b w:val="0"/>
                <w:sz w:val="20"/>
              </w:rPr>
              <w:t>yes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/>
            <w:r>
              <w:rPr>
                <w:rFonts w:ascii="Verdana" w:hAnsi="Verdana"/>
                <w:b w:val="0"/>
                <w:sz w:val="20"/>
              </w:rPr>
              <w:t>no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</w:pPr>
            <w:r/>
            <w:r>
              <w:rPr>
                <w:rFonts w:ascii="Verdana" w:hAnsi="Verdana"/>
                <w:b/>
                <w:sz w:val="20"/>
              </w:rPr>
              <w:t>Career open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/>
            <w:r>
              <w:rPr>
                <w:rFonts w:ascii="Verdana" w:hAnsi="Verdana"/>
                <w:b w:val="0"/>
                <w:sz w:val="20"/>
              </w:rPr>
              <w:t>niche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/>
            <w:r>
              <w:rPr>
                <w:rFonts w:ascii="Verdana" w:hAnsi="Verdana"/>
                <w:b w:val="0"/>
                <w:sz w:val="20"/>
              </w:rPr>
              <w:t>portable</w:t>
            </w:r>
          </w:p>
        </w:tc>
      </w:tr>
    </w:tbl>
    <w:p>
      <w:pPr>
        <w:spacing w:line="360" w:lineRule="auto" w:after="120" w:before="0"/>
      </w:pPr>
    </w:p>
    <w:p>
      <w:pPr>
        <w:spacing w:line="360" w:lineRule="auto" w:after="120" w:before="0"/>
      </w:pPr>
      <w:r>
        <w:rPr>
          <w:rFonts w:ascii="Verdana" w:hAnsi="Verdana"/>
          <w:b/>
          <w:sz w:val="22"/>
        </w:rPr>
        <w:t xml:space="preserve">IRC Prediction: </w:t>
      </w:r>
      <w:r>
        <w:rPr>
          <w:rFonts w:ascii="Verdana" w:hAnsi="Verdana"/>
          <w:i w:val="0"/>
          <w:sz w:val="22"/>
        </w:rPr>
        <w:t>A rational agent with my preferences weighs £37,898 net against a portable qualification and twenty extra hours, and declines. But only after testing the deferral.</w:t>
      </w:r>
    </w:p>
    <w:p>
      <w:pPr>
        <w:spacing w:line="360" w:lineRule="auto" w:after="120" w:before="0"/>
      </w:pPr>
      <w:r>
        <w:rPr>
          <w:rFonts w:ascii="Verdana" w:hAnsi="Verdana"/>
          <w:b/>
          <w:sz w:val="22"/>
        </w:rPr>
        <w:t>Why my decision deviated:</w:t>
      </w:r>
    </w:p>
    <w:p>
      <w:pPr>
        <w:spacing w:line="360" w:lineRule="auto" w:after="120" w:before="0"/>
      </w:pPr>
      <w:r>
        <w:rPr>
          <w:rFonts w:ascii="Verdana" w:hAnsi="Verdana"/>
          <w:i w:val="0"/>
          <w:sz w:val="22"/>
        </w:rPr>
        <w:t>I withdrew. The outcome was probably right, the reasoning was not. Elster (2007, p. 191) asks that an action follow from the beliefs that justify it: doing right by accident is not reasoning well.</w:t>
      </w:r>
    </w:p>
    <w:p>
      <w:pPr>
        <w:pStyle w:val="ListBullet"/>
        <w:spacing w:line="360" w:lineRule="auto" w:after="120" w:before="0"/>
      </w:pPr>
      <w:r>
        <w:rPr>
          <w:rFonts w:ascii="Verdana" w:hAnsi="Verdana"/>
          <w:i w:val="0"/>
          <w:sz w:val="22"/>
        </w:rPr>
        <w:t>Evidence to expectations: the search stopped at the headline, so my figure was wrong by £44,102.</w:t>
      </w:r>
    </w:p>
    <w:p>
      <w:pPr>
        <w:pStyle w:val="ListBullet"/>
        <w:spacing w:line="360" w:lineRule="auto" w:after="120" w:before="0"/>
      </w:pPr>
      <w:r>
        <w:rPr>
          <w:rFonts w:ascii="Verdana" w:hAnsi="Verdana"/>
          <w:i w:val="0"/>
          <w:sz w:val="22"/>
        </w:rPr>
        <w:t>Expectations to action: that figure argued for accepting. I withdrew anyway.</w:t>
      </w:r>
    </w:p>
    <w:p>
      <w:pPr>
        <w:pStyle w:val="ListBullet"/>
        <w:spacing w:line="360" w:lineRule="auto" w:after="120" w:before="0"/>
      </w:pPr>
      <w:r>
        <w:rPr>
          <w:rFonts w:ascii="Verdana" w:hAnsi="Verdana"/>
          <w:i w:val="0"/>
          <w:sz w:val="22"/>
        </w:rPr>
        <w:t>Outside the model: what moved me was tuition already paid, spent either way.</w:t>
      </w:r>
    </w:p>
    <w:p>
      <w:pPr>
        <w:pStyle w:val="ListBullet"/>
        <w:spacing w:line="360" w:lineRule="auto" w:after="120" w:before="0"/>
      </w:pPr>
      <w:r>
        <w:rPr>
          <w:rFonts w:ascii="Verdana" w:hAnsi="Verdana"/>
          <w:i w:val="0"/>
          <w:sz w:val="22"/>
        </w:rPr>
        <w:t>The model's limit: it asks for the right amount of searching without saying what that is (Hargreaves Heap, 1992).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857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-irc-compone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5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 w:before="0"/>
      </w:pPr>
      <w:r>
        <w:rPr>
          <w:rFonts w:ascii="Verdana" w:hAnsi="Verdana"/>
          <w:i/>
          <w:color w:val="595959"/>
          <w:sz w:val="18"/>
        </w:rPr>
        <w:t>Figure 2: my decision mapped onto the model.</w:t>
      </w:r>
    </w:p>
    <w:p>
      <w:pPr>
        <w:spacing w:line="360" w:lineRule="auto" w:after="120" w:before="200"/>
      </w:pPr>
      <w:r>
        <w:rPr>
          <w:rFonts w:ascii="Verdana" w:hAnsi="Verdana"/>
          <w:b/>
          <w:sz w:val="22"/>
        </w:rPr>
        <w:t>References</w:t>
      </w:r>
    </w:p>
    <w:p>
      <w:pPr>
        <w:spacing w:line="360" w:lineRule="auto" w:after="120" w:before="0"/>
        <w:ind w:left="567" w:hanging="567"/>
      </w:pPr>
      <w:r>
        <w:rPr>
          <w:rFonts w:ascii="Verdana" w:hAnsi="Verdana"/>
          <w:i w:val="0"/>
          <w:sz w:val="20"/>
        </w:rPr>
        <w:t>Elster, J. (2007) Explaining Social Behavior: More Nuts and Bolts for the Social Sciences. Cambridge: Cambridge University Press.</w:t>
      </w:r>
    </w:p>
    <w:p>
      <w:pPr>
        <w:spacing w:line="360" w:lineRule="auto" w:after="120" w:before="0"/>
        <w:ind w:left="567" w:hanging="567"/>
      </w:pPr>
      <w:r>
        <w:rPr>
          <w:rFonts w:ascii="Verdana" w:hAnsi="Verdana"/>
          <w:i w:val="0"/>
          <w:sz w:val="20"/>
        </w:rPr>
        <w:t>Hargreaves Heap, S., Hollis, M., Lyons, B., Sugden, R. and Weale, A. (1992) The Theory of Choice: A Critical Guide. Oxford: Blackwell.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Verdana" w:hAnsi="Verdan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