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405CB" w14:textId="77777777" w:rsidR="0019540F" w:rsidRDefault="00000000">
      <w:pPr>
        <w:spacing w:after="100" w:line="480" w:lineRule="auto"/>
        <w:jc w:val="center"/>
      </w:pPr>
      <w:r>
        <w:rPr>
          <w:rFonts w:ascii="宋体" w:eastAsia="宋体" w:hAnsi="宋体" w:cs="宋体"/>
          <w:b/>
          <w:bCs/>
          <w:sz w:val="28"/>
          <w:szCs w:val="28"/>
        </w:rPr>
        <w:t>《审计案例分析》课程案例分析报告</w:t>
      </w:r>
    </w:p>
    <w:p w14:paraId="01DF1384" w14:textId="77777777" w:rsidR="0019540F" w:rsidRDefault="0019540F">
      <w:pPr>
        <w:spacing w:line="480" w:lineRule="auto"/>
      </w:pPr>
    </w:p>
    <w:p w14:paraId="65FC6F77" w14:textId="77777777" w:rsidR="0019540F" w:rsidRDefault="00000000">
      <w:pPr>
        <w:spacing w:before="100" w:after="200" w:line="480" w:lineRule="auto"/>
        <w:jc w:val="center"/>
      </w:pPr>
      <w:r>
        <w:rPr>
          <w:rFonts w:ascii="宋体" w:eastAsia="宋体" w:hAnsi="宋体" w:cs="宋体"/>
          <w:b/>
          <w:bCs/>
          <w:sz w:val="30"/>
          <w:szCs w:val="30"/>
        </w:rPr>
        <w:t>曼彻斯特联足球俱乐部（Manchester United PLC）</w:t>
      </w:r>
    </w:p>
    <w:p w14:paraId="204D1122" w14:textId="77777777" w:rsidR="0019540F" w:rsidRDefault="00000000">
      <w:pPr>
        <w:spacing w:after="300" w:line="480" w:lineRule="auto"/>
        <w:jc w:val="center"/>
      </w:pPr>
      <w:r>
        <w:rPr>
          <w:rFonts w:ascii="宋体" w:eastAsia="宋体" w:hAnsi="宋体" w:cs="宋体"/>
          <w:b/>
          <w:bCs/>
          <w:sz w:val="30"/>
          <w:szCs w:val="30"/>
        </w:rPr>
        <w:t>2025年年报审计的行业状况案例分析报告</w:t>
      </w:r>
    </w:p>
    <w:p w14:paraId="47971B38" w14:textId="77777777" w:rsidR="0019540F" w:rsidRDefault="0019540F">
      <w:pPr>
        <w:spacing w:line="480" w:lineRule="auto"/>
      </w:pPr>
    </w:p>
    <w:p w14:paraId="0AFC1355" w14:textId="77777777" w:rsidR="0019540F" w:rsidRDefault="00000000">
      <w:pPr>
        <w:spacing w:before="200" w:after="100" w:line="480" w:lineRule="auto"/>
      </w:pPr>
      <w:r>
        <w:rPr>
          <w:rFonts w:ascii="宋体" w:eastAsia="宋体" w:hAnsi="宋体" w:cs="宋体"/>
          <w:b/>
          <w:bCs/>
          <w:sz w:val="30"/>
          <w:szCs w:val="30"/>
        </w:rPr>
        <w:t>一、案例公司背景分析</w:t>
      </w:r>
    </w:p>
    <w:p w14:paraId="037E4B25" w14:textId="77777777" w:rsidR="0019540F" w:rsidRDefault="00000000">
      <w:pPr>
        <w:spacing w:before="120" w:after="60" w:line="480" w:lineRule="auto"/>
      </w:pPr>
      <w:r>
        <w:rPr>
          <w:rFonts w:ascii="宋体" w:eastAsia="宋体" w:hAnsi="宋体" w:cs="宋体"/>
          <w:b/>
          <w:bCs/>
          <w:sz w:val="24"/>
          <w:szCs w:val="24"/>
        </w:rPr>
        <w:t>（一）案例公司基本情况及行业类型确定</w:t>
      </w:r>
    </w:p>
    <w:p w14:paraId="1F1584D0" w14:textId="77777777" w:rsidR="0019540F" w:rsidRDefault="00000000">
      <w:pPr>
        <w:spacing w:line="480" w:lineRule="auto"/>
        <w:ind w:firstLine="480"/>
        <w:jc w:val="both"/>
      </w:pPr>
      <w:r>
        <w:rPr>
          <w:rFonts w:ascii="宋体" w:eastAsia="宋体" w:hAnsi="宋体" w:cs="宋体"/>
          <w:sz w:val="24"/>
          <w:szCs w:val="24"/>
        </w:rPr>
        <w:t>曼彻斯特联足球俱乐部（Manchester United PLC，下称"</w:t>
      </w:r>
      <w:proofErr w:type="gramStart"/>
      <w:r>
        <w:rPr>
          <w:rFonts w:ascii="宋体" w:eastAsia="宋体" w:hAnsi="宋体" w:cs="宋体"/>
          <w:sz w:val="24"/>
          <w:szCs w:val="24"/>
        </w:rPr>
        <w:t>曼</w:t>
      </w:r>
      <w:proofErr w:type="gramEnd"/>
      <w:r>
        <w:rPr>
          <w:rFonts w:ascii="宋体" w:eastAsia="宋体" w:hAnsi="宋体" w:cs="宋体"/>
          <w:sz w:val="24"/>
          <w:szCs w:val="24"/>
        </w:rPr>
        <w:t>联"）是全球知名的职业足球俱乐部，总部位于英国曼彻斯特市。</w:t>
      </w:r>
      <w:proofErr w:type="gramStart"/>
      <w:r>
        <w:rPr>
          <w:rFonts w:ascii="宋体" w:eastAsia="宋体" w:hAnsi="宋体" w:cs="宋体"/>
          <w:sz w:val="24"/>
          <w:szCs w:val="24"/>
        </w:rPr>
        <w:t>曼</w:t>
      </w:r>
      <w:proofErr w:type="gramEnd"/>
      <w:r>
        <w:rPr>
          <w:rFonts w:ascii="宋体" w:eastAsia="宋体" w:hAnsi="宋体" w:cs="宋体"/>
          <w:sz w:val="24"/>
          <w:szCs w:val="24"/>
        </w:rPr>
        <w:t>联于2012年8月在纽约证券交易所（NYSE）正式上市，股票代码为"MANU"，成为全球少数在美国主板上市的足球俱乐部之一。公司注册于开曼群岛，并在英格兰及威尔士注册运营。</w:t>
      </w:r>
    </w:p>
    <w:p w14:paraId="1794E626" w14:textId="77777777" w:rsidR="0019540F" w:rsidRDefault="00000000">
      <w:pPr>
        <w:spacing w:line="480" w:lineRule="auto"/>
        <w:ind w:firstLine="480"/>
        <w:jc w:val="both"/>
      </w:pPr>
      <w:r>
        <w:rPr>
          <w:rFonts w:ascii="宋体" w:eastAsia="宋体" w:hAnsi="宋体" w:cs="宋体"/>
          <w:sz w:val="24"/>
          <w:szCs w:val="24"/>
        </w:rPr>
        <w:t>在股权结构方面，格雷泽家族（Glazer Family）长期持有</w:t>
      </w:r>
      <w:proofErr w:type="gramStart"/>
      <w:r>
        <w:rPr>
          <w:rFonts w:ascii="宋体" w:eastAsia="宋体" w:hAnsi="宋体" w:cs="宋体"/>
          <w:sz w:val="24"/>
          <w:szCs w:val="24"/>
        </w:rPr>
        <w:t>曼</w:t>
      </w:r>
      <w:proofErr w:type="gramEnd"/>
      <w:r>
        <w:rPr>
          <w:rFonts w:ascii="宋体" w:eastAsia="宋体" w:hAnsi="宋体" w:cs="宋体"/>
          <w:sz w:val="24"/>
          <w:szCs w:val="24"/>
        </w:rPr>
        <w:t>联多数控制权。2024年初，英国亿万富翁吉姆·拉特克利夫（Sir Jim Ratcliffe）旗下的英力士（INEOS）完成收购</w:t>
      </w:r>
      <w:proofErr w:type="gramStart"/>
      <w:r>
        <w:rPr>
          <w:rFonts w:ascii="宋体" w:eastAsia="宋体" w:hAnsi="宋体" w:cs="宋体"/>
          <w:sz w:val="24"/>
          <w:szCs w:val="24"/>
        </w:rPr>
        <w:t>曼联约</w:t>
      </w:r>
      <w:proofErr w:type="gramEnd"/>
      <w:r>
        <w:rPr>
          <w:rFonts w:ascii="宋体" w:eastAsia="宋体" w:hAnsi="宋体" w:cs="宋体"/>
          <w:sz w:val="24"/>
          <w:szCs w:val="24"/>
        </w:rPr>
        <w:t>25%的股权，并获授权负责俱乐部的足球运营事务，</w:t>
      </w:r>
      <w:proofErr w:type="gramStart"/>
      <w:r>
        <w:rPr>
          <w:rFonts w:ascii="宋体" w:eastAsia="宋体" w:hAnsi="宋体" w:cs="宋体"/>
          <w:sz w:val="24"/>
          <w:szCs w:val="24"/>
        </w:rPr>
        <w:t>曼</w:t>
      </w:r>
      <w:proofErr w:type="gramEnd"/>
      <w:r>
        <w:rPr>
          <w:rFonts w:ascii="宋体" w:eastAsia="宋体" w:hAnsi="宋体" w:cs="宋体"/>
          <w:sz w:val="24"/>
          <w:szCs w:val="24"/>
        </w:rPr>
        <w:t>联进入双轨治理的新阶段。</w:t>
      </w:r>
    </w:p>
    <w:p w14:paraId="464DF754" w14:textId="77777777" w:rsidR="0019540F" w:rsidRDefault="00000000">
      <w:pPr>
        <w:spacing w:line="480" w:lineRule="auto"/>
        <w:ind w:firstLine="480"/>
        <w:jc w:val="both"/>
      </w:pPr>
      <w:proofErr w:type="gramStart"/>
      <w:r>
        <w:rPr>
          <w:rFonts w:ascii="宋体" w:eastAsia="宋体" w:hAnsi="宋体" w:cs="宋体"/>
          <w:sz w:val="24"/>
          <w:szCs w:val="24"/>
        </w:rPr>
        <w:t>曼</w:t>
      </w:r>
      <w:proofErr w:type="gramEnd"/>
      <w:r>
        <w:rPr>
          <w:rFonts w:ascii="宋体" w:eastAsia="宋体" w:hAnsi="宋体" w:cs="宋体"/>
          <w:sz w:val="24"/>
          <w:szCs w:val="24"/>
        </w:rPr>
        <w:t xml:space="preserve">联的核心业务覆盖三大收入板块：一是商业收入（Commercial Revenue），包括全球赞助合作、品牌授权及零售业务；二是转播收入（Broadcasting Revenue），包括英超联赛、欧洲杯赛转播分成及自有媒体平台收益；三是比赛日收入（Matchday Revenue），包括老特拉福德球场（Old </w:t>
      </w:r>
      <w:r>
        <w:rPr>
          <w:rFonts w:ascii="宋体" w:eastAsia="宋体" w:hAnsi="宋体" w:cs="宋体"/>
          <w:sz w:val="24"/>
          <w:szCs w:val="24"/>
        </w:rPr>
        <w:lastRenderedPageBreak/>
        <w:t>Trafford）的门票收入、贵宾接待及赛事活动。</w:t>
      </w:r>
    </w:p>
    <w:p w14:paraId="38161BD8" w14:textId="77777777" w:rsidR="0019540F" w:rsidRDefault="00000000">
      <w:pPr>
        <w:spacing w:line="480" w:lineRule="auto"/>
        <w:ind w:firstLine="480"/>
        <w:jc w:val="both"/>
      </w:pPr>
      <w:r>
        <w:rPr>
          <w:rFonts w:ascii="宋体" w:eastAsia="宋体" w:hAnsi="宋体" w:cs="宋体"/>
          <w:sz w:val="24"/>
          <w:szCs w:val="24"/>
        </w:rPr>
        <w:t>根据国际行业分类标准（GICS），</w:t>
      </w:r>
      <w:proofErr w:type="gramStart"/>
      <w:r>
        <w:rPr>
          <w:rFonts w:ascii="宋体" w:eastAsia="宋体" w:hAnsi="宋体" w:cs="宋体"/>
          <w:sz w:val="24"/>
          <w:szCs w:val="24"/>
        </w:rPr>
        <w:t>曼</w:t>
      </w:r>
      <w:proofErr w:type="gramEnd"/>
      <w:r>
        <w:rPr>
          <w:rFonts w:ascii="宋体" w:eastAsia="宋体" w:hAnsi="宋体" w:cs="宋体"/>
          <w:sz w:val="24"/>
          <w:szCs w:val="24"/>
        </w:rPr>
        <w:t>联属于"非必需消费品"（Consumer Discretionary）板块下的"娱乐"（Entertainment）子行业，具体可细分为职业体育娱乐行业（Professional Sports Entertainment Industry）。该行业以品牌影响力、竞技成绩和媒体版权为核心驱动要素，具有显著的无形资产密集型特征。</w:t>
      </w:r>
    </w:p>
    <w:p w14:paraId="43370E80" w14:textId="77777777" w:rsidR="0019540F" w:rsidRDefault="00000000">
      <w:pPr>
        <w:spacing w:line="480" w:lineRule="auto"/>
        <w:ind w:firstLine="480"/>
        <w:jc w:val="both"/>
      </w:pPr>
      <w:r>
        <w:rPr>
          <w:rFonts w:ascii="宋体" w:eastAsia="宋体" w:hAnsi="宋体" w:cs="宋体"/>
          <w:sz w:val="24"/>
          <w:szCs w:val="24"/>
        </w:rPr>
        <w:t>根据德勤（Deloitte）2026年足球财富联赛（Football Money League）报告，</w:t>
      </w:r>
      <w:proofErr w:type="gramStart"/>
      <w:r>
        <w:rPr>
          <w:rFonts w:ascii="宋体" w:eastAsia="宋体" w:hAnsi="宋体" w:cs="宋体"/>
          <w:sz w:val="24"/>
          <w:szCs w:val="24"/>
        </w:rPr>
        <w:t>曼</w:t>
      </w:r>
      <w:proofErr w:type="gramEnd"/>
      <w:r>
        <w:rPr>
          <w:rFonts w:ascii="宋体" w:eastAsia="宋体" w:hAnsi="宋体" w:cs="宋体"/>
          <w:sz w:val="24"/>
          <w:szCs w:val="24"/>
        </w:rPr>
        <w:t>联在2024/25赛季以约7.93亿欧元的总营收排名全球第八，是欧洲顶级足球俱乐部中商业化程度最高的代表之一。</w:t>
      </w:r>
    </w:p>
    <w:p w14:paraId="323426F5" w14:textId="77777777" w:rsidR="0019540F" w:rsidRDefault="00000000">
      <w:pPr>
        <w:spacing w:before="120" w:after="60" w:line="480" w:lineRule="auto"/>
      </w:pPr>
      <w:r>
        <w:rPr>
          <w:rFonts w:ascii="宋体" w:eastAsia="宋体" w:hAnsi="宋体" w:cs="宋体"/>
          <w:b/>
          <w:bCs/>
          <w:sz w:val="24"/>
          <w:szCs w:val="24"/>
        </w:rPr>
        <w:t>（二）行业状况资料收集工具、步骤与方法</w:t>
      </w:r>
    </w:p>
    <w:p w14:paraId="15C75268" w14:textId="77777777" w:rsidR="0019540F" w:rsidRDefault="00000000">
      <w:pPr>
        <w:spacing w:line="480" w:lineRule="auto"/>
        <w:ind w:firstLine="480"/>
        <w:jc w:val="both"/>
      </w:pPr>
      <w:r>
        <w:rPr>
          <w:rFonts w:ascii="宋体" w:eastAsia="宋体" w:hAnsi="宋体" w:cs="宋体"/>
          <w:sz w:val="24"/>
          <w:szCs w:val="24"/>
        </w:rPr>
        <w:t>本报告采用多元化、系统化的信息收集方式，综合运用AI工具与传统专业数据源，确保行业分析的深度与准确性。具体步骤如下：</w:t>
      </w:r>
    </w:p>
    <w:p w14:paraId="1AB12B9C" w14:textId="1402ED4F" w:rsidR="0019540F" w:rsidRDefault="00000000">
      <w:pPr>
        <w:spacing w:line="480" w:lineRule="auto"/>
        <w:ind w:firstLine="480"/>
        <w:jc w:val="both"/>
      </w:pPr>
      <w:r>
        <w:rPr>
          <w:rFonts w:ascii="宋体" w:eastAsia="宋体" w:hAnsi="宋体" w:cs="宋体"/>
          <w:sz w:val="24"/>
          <w:szCs w:val="24"/>
        </w:rPr>
        <w:t>第一步：明确研究框架。利用Claude</w:t>
      </w:r>
      <w:r w:rsidR="00CA2EBE">
        <w:rPr>
          <w:rFonts w:ascii="宋体" w:eastAsia="宋体" w:hAnsi="宋体" w:cs="宋体" w:hint="eastAsia"/>
          <w:sz w:val="24"/>
          <w:szCs w:val="24"/>
        </w:rPr>
        <w:t xml:space="preserve"> </w:t>
      </w:r>
      <w:r>
        <w:rPr>
          <w:rFonts w:ascii="宋体" w:eastAsia="宋体" w:hAnsi="宋体" w:cs="宋体"/>
          <w:sz w:val="24"/>
          <w:szCs w:val="24"/>
        </w:rPr>
        <w:t>AI大模型，输入提示词"请系统梳理职业足球俱乐部上市公司的行业分析框架，包括供需结构、季节性特征、技术壁垒、能源成本、关键绩效指标等五个维度"，生成初步分析框架，作为本报告的逻辑主线。</w:t>
      </w:r>
    </w:p>
    <w:p w14:paraId="19E2D29F" w14:textId="77777777" w:rsidR="0019540F" w:rsidRDefault="00000000">
      <w:pPr>
        <w:spacing w:line="480" w:lineRule="auto"/>
        <w:ind w:firstLine="480"/>
        <w:jc w:val="both"/>
      </w:pPr>
      <w:r>
        <w:rPr>
          <w:rFonts w:ascii="宋体" w:eastAsia="宋体" w:hAnsi="宋体" w:cs="宋体"/>
          <w:sz w:val="24"/>
          <w:szCs w:val="24"/>
        </w:rPr>
        <w:t>第二步：收集一手财务数据。通过</w:t>
      </w:r>
      <w:proofErr w:type="gramStart"/>
      <w:r>
        <w:rPr>
          <w:rFonts w:ascii="宋体" w:eastAsia="宋体" w:hAnsi="宋体" w:cs="宋体"/>
          <w:sz w:val="24"/>
          <w:szCs w:val="24"/>
        </w:rPr>
        <w:t>曼</w:t>
      </w:r>
      <w:proofErr w:type="gramEnd"/>
      <w:r>
        <w:rPr>
          <w:rFonts w:ascii="宋体" w:eastAsia="宋体" w:hAnsi="宋体" w:cs="宋体"/>
          <w:sz w:val="24"/>
          <w:szCs w:val="24"/>
        </w:rPr>
        <w:t>联官方投资者关系网站（ir.manutd.com）及美国证监会（SEC）EDGAR数据库，下载</w:t>
      </w:r>
      <w:proofErr w:type="gramStart"/>
      <w:r>
        <w:rPr>
          <w:rFonts w:ascii="宋体" w:eastAsia="宋体" w:hAnsi="宋体" w:cs="宋体"/>
          <w:sz w:val="24"/>
          <w:szCs w:val="24"/>
        </w:rPr>
        <w:t>曼</w:t>
      </w:r>
      <w:proofErr w:type="gramEnd"/>
      <w:r>
        <w:rPr>
          <w:rFonts w:ascii="宋体" w:eastAsia="宋体" w:hAnsi="宋体" w:cs="宋体"/>
          <w:sz w:val="24"/>
          <w:szCs w:val="24"/>
        </w:rPr>
        <w:t>联FY2021至FY2025共五个财年（2021–2025年）的年度报告（Form 20-F）及季度报告，提取商业、转播、比赛日三大收入模块的历史数据及分部经营信息。</w:t>
      </w:r>
    </w:p>
    <w:p w14:paraId="2DB6D429" w14:textId="77777777" w:rsidR="0019540F" w:rsidRDefault="00000000">
      <w:pPr>
        <w:spacing w:line="480" w:lineRule="auto"/>
        <w:ind w:firstLine="480"/>
        <w:jc w:val="both"/>
      </w:pPr>
      <w:r>
        <w:rPr>
          <w:rFonts w:ascii="宋体" w:eastAsia="宋体" w:hAnsi="宋体" w:cs="宋体"/>
          <w:sz w:val="24"/>
          <w:szCs w:val="24"/>
        </w:rPr>
        <w:t>第三步：获取行业对标数据。收集德勤《足球财富联赛》（2021—2026年</w:t>
      </w:r>
      <w:r>
        <w:rPr>
          <w:rFonts w:ascii="宋体" w:eastAsia="宋体" w:hAnsi="宋体" w:cs="宋体"/>
          <w:sz w:val="24"/>
          <w:szCs w:val="24"/>
        </w:rPr>
        <w:lastRenderedPageBreak/>
        <w:t>六期报告）的完整数据，对比</w:t>
      </w:r>
      <w:proofErr w:type="gramStart"/>
      <w:r>
        <w:rPr>
          <w:rFonts w:ascii="宋体" w:eastAsia="宋体" w:hAnsi="宋体" w:cs="宋体"/>
          <w:sz w:val="24"/>
          <w:szCs w:val="24"/>
        </w:rPr>
        <w:t>曼</w:t>
      </w:r>
      <w:proofErr w:type="gramEnd"/>
      <w:r>
        <w:rPr>
          <w:rFonts w:ascii="宋体" w:eastAsia="宋体" w:hAnsi="宋体" w:cs="宋体"/>
          <w:sz w:val="24"/>
          <w:szCs w:val="24"/>
        </w:rPr>
        <w:t>联与同行业竞争对手（皇家马德里、曼城、利物浦、拜仁慕尼黑等）的营收规模与结构；同时参考普华永道、毕马威发布的全球体育产业报告及英超联赛官方财务统计数据。</w:t>
      </w:r>
    </w:p>
    <w:p w14:paraId="59F5FDC9" w14:textId="77777777" w:rsidR="0019540F" w:rsidRDefault="00000000">
      <w:pPr>
        <w:spacing w:line="480" w:lineRule="auto"/>
        <w:ind w:firstLine="480"/>
        <w:jc w:val="both"/>
      </w:pPr>
      <w:r>
        <w:rPr>
          <w:rFonts w:ascii="宋体" w:eastAsia="宋体" w:hAnsi="宋体" w:cs="宋体"/>
          <w:sz w:val="24"/>
          <w:szCs w:val="24"/>
        </w:rPr>
        <w:t>第四步：AI辅助深度分析。进一步向Claude提问："</w:t>
      </w:r>
      <w:proofErr w:type="gramStart"/>
      <w:r>
        <w:rPr>
          <w:rFonts w:ascii="宋体" w:eastAsia="宋体" w:hAnsi="宋体" w:cs="宋体"/>
          <w:sz w:val="24"/>
          <w:szCs w:val="24"/>
        </w:rPr>
        <w:t>曼联商业</w:t>
      </w:r>
      <w:proofErr w:type="gramEnd"/>
      <w:r>
        <w:rPr>
          <w:rFonts w:ascii="宋体" w:eastAsia="宋体" w:hAnsi="宋体" w:cs="宋体"/>
          <w:sz w:val="24"/>
          <w:szCs w:val="24"/>
        </w:rPr>
        <w:t>收入占</w:t>
      </w:r>
      <w:proofErr w:type="gramStart"/>
      <w:r>
        <w:rPr>
          <w:rFonts w:ascii="宋体" w:eastAsia="宋体" w:hAnsi="宋体" w:cs="宋体"/>
          <w:sz w:val="24"/>
          <w:szCs w:val="24"/>
        </w:rPr>
        <w:t>比持续</w:t>
      </w:r>
      <w:proofErr w:type="gramEnd"/>
      <w:r>
        <w:rPr>
          <w:rFonts w:ascii="宋体" w:eastAsia="宋体" w:hAnsi="宋体" w:cs="宋体"/>
          <w:sz w:val="24"/>
          <w:szCs w:val="24"/>
        </w:rPr>
        <w:t>提升的核心驱动因素是什么？与皇</w:t>
      </w:r>
      <w:proofErr w:type="gramStart"/>
      <w:r>
        <w:rPr>
          <w:rFonts w:ascii="宋体" w:eastAsia="宋体" w:hAnsi="宋体" w:cs="宋体"/>
          <w:sz w:val="24"/>
          <w:szCs w:val="24"/>
        </w:rPr>
        <w:t>马模式</w:t>
      </w:r>
      <w:proofErr w:type="gramEnd"/>
      <w:r>
        <w:rPr>
          <w:rFonts w:ascii="宋体" w:eastAsia="宋体" w:hAnsi="宋体" w:cs="宋体"/>
          <w:sz w:val="24"/>
          <w:szCs w:val="24"/>
        </w:rPr>
        <w:t>有何本质差异？"及"</w:t>
      </w:r>
      <w:proofErr w:type="gramStart"/>
      <w:r>
        <w:rPr>
          <w:rFonts w:ascii="宋体" w:eastAsia="宋体" w:hAnsi="宋体" w:cs="宋体"/>
          <w:sz w:val="24"/>
          <w:szCs w:val="24"/>
        </w:rPr>
        <w:t>曼联近</w:t>
      </w:r>
      <w:proofErr w:type="gramEnd"/>
      <w:r>
        <w:rPr>
          <w:rFonts w:ascii="宋体" w:eastAsia="宋体" w:hAnsi="宋体" w:cs="宋体"/>
          <w:sz w:val="24"/>
          <w:szCs w:val="24"/>
        </w:rPr>
        <w:t>三年转播收入波动的主要原因及对盈利能力的长期影响是什么？"通过多轮追问，深化对行业运营逻辑的理解。</w:t>
      </w:r>
    </w:p>
    <w:p w14:paraId="4D160081" w14:textId="77777777" w:rsidR="0019540F" w:rsidRDefault="00000000">
      <w:pPr>
        <w:spacing w:line="480" w:lineRule="auto"/>
        <w:ind w:firstLine="480"/>
        <w:jc w:val="both"/>
      </w:pPr>
      <w:r>
        <w:rPr>
          <w:rFonts w:ascii="宋体" w:eastAsia="宋体" w:hAnsi="宋体" w:cs="宋体"/>
          <w:sz w:val="24"/>
          <w:szCs w:val="24"/>
        </w:rPr>
        <w:t>第五步：数据整合与交叉验证。将来自</w:t>
      </w:r>
      <w:proofErr w:type="gramStart"/>
      <w:r>
        <w:rPr>
          <w:rFonts w:ascii="宋体" w:eastAsia="宋体" w:hAnsi="宋体" w:cs="宋体"/>
          <w:sz w:val="24"/>
          <w:szCs w:val="24"/>
        </w:rPr>
        <w:t>曼</w:t>
      </w:r>
      <w:proofErr w:type="gramEnd"/>
      <w:r>
        <w:rPr>
          <w:rFonts w:ascii="宋体" w:eastAsia="宋体" w:hAnsi="宋体" w:cs="宋体"/>
          <w:sz w:val="24"/>
          <w:szCs w:val="24"/>
        </w:rPr>
        <w:t>联年报、德勤报告、Statista数据库及Bloomberg金融终端的数据进行交叉验证，确保数据口径一致、信息来源权威。五年数据区间覆盖2020/21至2024/25赛季，完整呈现疫情冲击恢复期及俱乐部转型期的行业动态。</w:t>
      </w:r>
    </w:p>
    <w:p w14:paraId="601E31B3" w14:textId="77777777" w:rsidR="0019540F" w:rsidRDefault="0019540F">
      <w:pPr>
        <w:spacing w:line="480" w:lineRule="auto"/>
      </w:pPr>
    </w:p>
    <w:p w14:paraId="01657BE5" w14:textId="77777777" w:rsidR="0019540F" w:rsidRDefault="00000000">
      <w:pPr>
        <w:spacing w:before="200" w:after="100" w:line="480" w:lineRule="auto"/>
      </w:pPr>
      <w:r>
        <w:rPr>
          <w:rFonts w:ascii="宋体" w:eastAsia="宋体" w:hAnsi="宋体" w:cs="宋体"/>
          <w:b/>
          <w:bCs/>
          <w:sz w:val="30"/>
          <w:szCs w:val="30"/>
        </w:rPr>
        <w:t>二、从五个方面分析</w:t>
      </w:r>
      <w:proofErr w:type="gramStart"/>
      <w:r>
        <w:rPr>
          <w:rFonts w:ascii="宋体" w:eastAsia="宋体" w:hAnsi="宋体" w:cs="宋体"/>
          <w:b/>
          <w:bCs/>
          <w:sz w:val="30"/>
          <w:szCs w:val="30"/>
        </w:rPr>
        <w:t>曼</w:t>
      </w:r>
      <w:proofErr w:type="gramEnd"/>
      <w:r>
        <w:rPr>
          <w:rFonts w:ascii="宋体" w:eastAsia="宋体" w:hAnsi="宋体" w:cs="宋体"/>
          <w:b/>
          <w:bCs/>
          <w:sz w:val="30"/>
          <w:szCs w:val="30"/>
        </w:rPr>
        <w:t>联所处的行业状况</w:t>
      </w:r>
    </w:p>
    <w:p w14:paraId="2D4EA7D4" w14:textId="77777777" w:rsidR="0019540F" w:rsidRDefault="00000000">
      <w:pPr>
        <w:spacing w:before="120" w:after="60" w:line="480" w:lineRule="auto"/>
      </w:pPr>
      <w:r>
        <w:rPr>
          <w:rFonts w:ascii="宋体" w:eastAsia="宋体" w:hAnsi="宋体" w:cs="宋体"/>
          <w:b/>
          <w:bCs/>
          <w:sz w:val="24"/>
          <w:szCs w:val="24"/>
        </w:rPr>
        <w:t>（一）行业供给与竞争分析</w:t>
      </w:r>
    </w:p>
    <w:p w14:paraId="3D894D3A" w14:textId="77777777" w:rsidR="0019540F" w:rsidRDefault="00000000">
      <w:pPr>
        <w:spacing w:line="480" w:lineRule="auto"/>
        <w:ind w:firstLine="480"/>
        <w:jc w:val="both"/>
      </w:pPr>
      <w:r>
        <w:rPr>
          <w:rFonts w:ascii="宋体" w:eastAsia="宋体" w:hAnsi="宋体" w:cs="宋体"/>
          <w:sz w:val="24"/>
          <w:szCs w:val="24"/>
        </w:rPr>
        <w:t>职业足球娱乐行业的市场供给</w:t>
      </w:r>
      <w:proofErr w:type="gramStart"/>
      <w:r>
        <w:rPr>
          <w:rFonts w:ascii="宋体" w:eastAsia="宋体" w:hAnsi="宋体" w:cs="宋体"/>
          <w:sz w:val="24"/>
          <w:szCs w:val="24"/>
        </w:rPr>
        <w:t>端主要</w:t>
      </w:r>
      <w:proofErr w:type="gramEnd"/>
      <w:r>
        <w:rPr>
          <w:rFonts w:ascii="宋体" w:eastAsia="宋体" w:hAnsi="宋体" w:cs="宋体"/>
          <w:sz w:val="24"/>
          <w:szCs w:val="24"/>
        </w:rPr>
        <w:t>由欧洲"五大联赛"（英超、西甲、德甲、意甲、法甲）的顶级俱乐部构成。</w:t>
      </w:r>
      <w:proofErr w:type="gramStart"/>
      <w:r>
        <w:rPr>
          <w:rFonts w:ascii="宋体" w:eastAsia="宋体" w:hAnsi="宋体" w:cs="宋体"/>
          <w:sz w:val="24"/>
          <w:szCs w:val="24"/>
        </w:rPr>
        <w:t>曼联所在</w:t>
      </w:r>
      <w:proofErr w:type="gramEnd"/>
      <w:r>
        <w:rPr>
          <w:rFonts w:ascii="宋体" w:eastAsia="宋体" w:hAnsi="宋体" w:cs="宋体"/>
          <w:sz w:val="24"/>
          <w:szCs w:val="24"/>
        </w:rPr>
        <w:t>的英格兰超级联赛（Premier League）是全球商业价值最高的职业足球联赛，2024/25</w:t>
      </w:r>
      <w:proofErr w:type="gramStart"/>
      <w:r>
        <w:rPr>
          <w:rFonts w:ascii="宋体" w:eastAsia="宋体" w:hAnsi="宋体" w:cs="宋体"/>
          <w:sz w:val="24"/>
          <w:szCs w:val="24"/>
        </w:rPr>
        <w:t>赛季全联赛</w:t>
      </w:r>
      <w:proofErr w:type="gramEnd"/>
      <w:r>
        <w:rPr>
          <w:rFonts w:ascii="宋体" w:eastAsia="宋体" w:hAnsi="宋体" w:cs="宋体"/>
          <w:sz w:val="24"/>
          <w:szCs w:val="24"/>
        </w:rPr>
        <w:t>总营收预计达到68亿英镑，较前一赛季的63.5亿英镑增长约6.8%。</w:t>
      </w:r>
    </w:p>
    <w:p w14:paraId="57648DE9" w14:textId="77777777" w:rsidR="0019540F" w:rsidRDefault="00000000">
      <w:pPr>
        <w:spacing w:line="480" w:lineRule="auto"/>
        <w:ind w:firstLine="480"/>
        <w:jc w:val="both"/>
      </w:pPr>
      <w:r>
        <w:rPr>
          <w:rFonts w:ascii="宋体" w:eastAsia="宋体" w:hAnsi="宋体" w:cs="宋体"/>
          <w:sz w:val="24"/>
          <w:szCs w:val="24"/>
        </w:rPr>
        <w:t>在产品与服务维度，</w:t>
      </w:r>
      <w:proofErr w:type="gramStart"/>
      <w:r>
        <w:rPr>
          <w:rFonts w:ascii="宋体" w:eastAsia="宋体" w:hAnsi="宋体" w:cs="宋体"/>
          <w:sz w:val="24"/>
          <w:szCs w:val="24"/>
        </w:rPr>
        <w:t>曼</w:t>
      </w:r>
      <w:proofErr w:type="gramEnd"/>
      <w:r>
        <w:rPr>
          <w:rFonts w:ascii="宋体" w:eastAsia="宋体" w:hAnsi="宋体" w:cs="宋体"/>
          <w:sz w:val="24"/>
          <w:szCs w:val="24"/>
        </w:rPr>
        <w:t>联的主要"产品"包括：主场比赛体验（老特拉福德球场，容纳约7.4万名观众，为欧洲最大球场之一）、全球赞助品牌权益包（涵盖球衣主赞助、训练装备、官方合作伙伴等多层次授权体系）、数字内容</w:t>
      </w:r>
      <w:r>
        <w:rPr>
          <w:rFonts w:ascii="宋体" w:eastAsia="宋体" w:hAnsi="宋体" w:cs="宋体"/>
          <w:sz w:val="24"/>
          <w:szCs w:val="24"/>
        </w:rPr>
        <w:lastRenderedPageBreak/>
        <w:t>与</w:t>
      </w:r>
      <w:proofErr w:type="gramStart"/>
      <w:r>
        <w:rPr>
          <w:rFonts w:ascii="宋体" w:eastAsia="宋体" w:hAnsi="宋体" w:cs="宋体"/>
          <w:sz w:val="24"/>
          <w:szCs w:val="24"/>
        </w:rPr>
        <w:t>曼</w:t>
      </w:r>
      <w:proofErr w:type="gramEnd"/>
      <w:r>
        <w:rPr>
          <w:rFonts w:ascii="宋体" w:eastAsia="宋体" w:hAnsi="宋体" w:cs="宋体"/>
          <w:sz w:val="24"/>
          <w:szCs w:val="24"/>
        </w:rPr>
        <w:t>联电视（MUTV）订阅服务，以及球员形象授权与周边零售。</w:t>
      </w:r>
    </w:p>
    <w:p w14:paraId="47A51217" w14:textId="77777777" w:rsidR="0019540F" w:rsidRDefault="00000000">
      <w:pPr>
        <w:spacing w:line="480" w:lineRule="auto"/>
        <w:ind w:firstLine="480"/>
        <w:jc w:val="both"/>
      </w:pPr>
      <w:r>
        <w:rPr>
          <w:rFonts w:ascii="宋体" w:eastAsia="宋体" w:hAnsi="宋体" w:cs="宋体"/>
          <w:sz w:val="24"/>
          <w:szCs w:val="24"/>
        </w:rPr>
        <w:t>市场竞争格局高度集中。据德勤2026年报告，全球营收前五的足球俱乐部分别为：皇家马德里（约11.8亿欧元）、曼城（约8.38亿欧元）、巴黎圣日耳曼、拜仁慕尼黑和利物浦。</w:t>
      </w:r>
      <w:proofErr w:type="gramStart"/>
      <w:r>
        <w:rPr>
          <w:rFonts w:ascii="宋体" w:eastAsia="宋体" w:hAnsi="宋体" w:cs="宋体"/>
          <w:sz w:val="24"/>
          <w:szCs w:val="24"/>
        </w:rPr>
        <w:t>曼</w:t>
      </w:r>
      <w:proofErr w:type="gramEnd"/>
      <w:r>
        <w:rPr>
          <w:rFonts w:ascii="宋体" w:eastAsia="宋体" w:hAnsi="宋体" w:cs="宋体"/>
          <w:sz w:val="24"/>
          <w:szCs w:val="24"/>
        </w:rPr>
        <w:t>联以7.93亿欧元排名第八，较历史高峰时期明显下滑。核心竞争差异在于，皇马凭借</w:t>
      </w:r>
      <w:proofErr w:type="gramStart"/>
      <w:r>
        <w:rPr>
          <w:rFonts w:ascii="宋体" w:eastAsia="宋体" w:hAnsi="宋体" w:cs="宋体"/>
          <w:sz w:val="24"/>
          <w:szCs w:val="24"/>
        </w:rPr>
        <w:t>多次欧冠夺冠</w:t>
      </w:r>
      <w:proofErr w:type="gramEnd"/>
      <w:r>
        <w:rPr>
          <w:rFonts w:ascii="宋体" w:eastAsia="宋体" w:hAnsi="宋体" w:cs="宋体"/>
          <w:sz w:val="24"/>
          <w:szCs w:val="24"/>
        </w:rPr>
        <w:t>大幅拉升转播与奖金收益，而</w:t>
      </w:r>
      <w:proofErr w:type="gramStart"/>
      <w:r>
        <w:rPr>
          <w:rFonts w:ascii="宋体" w:eastAsia="宋体" w:hAnsi="宋体" w:cs="宋体"/>
          <w:sz w:val="24"/>
          <w:szCs w:val="24"/>
        </w:rPr>
        <w:t>曼</w:t>
      </w:r>
      <w:proofErr w:type="gramEnd"/>
      <w:r>
        <w:rPr>
          <w:rFonts w:ascii="宋体" w:eastAsia="宋体" w:hAnsi="宋体" w:cs="宋体"/>
          <w:sz w:val="24"/>
          <w:szCs w:val="24"/>
        </w:rPr>
        <w:t>联近年因成绩下滑，未能晋级2025/26赛季欧洲赛事，预计转播收入将进一步承压。</w:t>
      </w:r>
    </w:p>
    <w:p w14:paraId="22B3CC28" w14:textId="77777777" w:rsidR="0019540F" w:rsidRDefault="00000000">
      <w:pPr>
        <w:spacing w:line="480" w:lineRule="auto"/>
        <w:ind w:firstLine="480"/>
        <w:jc w:val="both"/>
      </w:pPr>
      <w:r>
        <w:rPr>
          <w:rFonts w:ascii="宋体" w:eastAsia="宋体" w:hAnsi="宋体" w:cs="宋体"/>
          <w:sz w:val="24"/>
          <w:szCs w:val="24"/>
        </w:rPr>
        <w:t>价格竞争方面，英超2022–2025年国内转播版权合同总额为51亿英镑，国际版权另行计算；2025年起新周期谈判完成后，整体版权价值预计进一步提升。</w:t>
      </w:r>
      <w:proofErr w:type="gramStart"/>
      <w:r>
        <w:rPr>
          <w:rFonts w:ascii="宋体" w:eastAsia="宋体" w:hAnsi="宋体" w:cs="宋体"/>
          <w:sz w:val="24"/>
          <w:szCs w:val="24"/>
        </w:rPr>
        <w:t>曼</w:t>
      </w:r>
      <w:proofErr w:type="gramEnd"/>
      <w:r>
        <w:rPr>
          <w:rFonts w:ascii="宋体" w:eastAsia="宋体" w:hAnsi="宋体" w:cs="宋体"/>
          <w:sz w:val="24"/>
          <w:szCs w:val="24"/>
        </w:rPr>
        <w:t>联比赛日票价在英超中属于高位，2024/25赛季普通联赛票价为66至125英镑/场，年度会员票价范围为532至950英镑。商业赞助领域，</w:t>
      </w:r>
      <w:proofErr w:type="gramStart"/>
      <w:r>
        <w:rPr>
          <w:rFonts w:ascii="宋体" w:eastAsia="宋体" w:hAnsi="宋体" w:cs="宋体"/>
          <w:sz w:val="24"/>
          <w:szCs w:val="24"/>
        </w:rPr>
        <w:t>曼</w:t>
      </w:r>
      <w:proofErr w:type="gramEnd"/>
      <w:r>
        <w:rPr>
          <w:rFonts w:ascii="宋体" w:eastAsia="宋体" w:hAnsi="宋体" w:cs="宋体"/>
          <w:sz w:val="24"/>
          <w:szCs w:val="24"/>
        </w:rPr>
        <w:t>联目前主赞助商为宝马旗下的TEAMVIEWER（已更换为宝马本身作为主赞助商）及阿迪达斯球衣合同（合同总额约每年9000万英镑），并与超过80个全球合作伙伴维持商业合作关系。</w:t>
      </w:r>
    </w:p>
    <w:p w14:paraId="66ABDF2A" w14:textId="77777777" w:rsidR="0019540F" w:rsidRDefault="00000000">
      <w:pPr>
        <w:spacing w:before="120" w:after="60" w:line="480" w:lineRule="auto"/>
      </w:pPr>
      <w:r>
        <w:rPr>
          <w:rFonts w:ascii="宋体" w:eastAsia="宋体" w:hAnsi="宋体" w:cs="宋体"/>
          <w:b/>
          <w:bCs/>
          <w:sz w:val="24"/>
          <w:szCs w:val="24"/>
        </w:rPr>
        <w:t>（二）季节性因素与经济周期波动影响</w:t>
      </w:r>
    </w:p>
    <w:p w14:paraId="6A9D36C8" w14:textId="77777777" w:rsidR="0019540F" w:rsidRDefault="00000000">
      <w:pPr>
        <w:spacing w:line="480" w:lineRule="auto"/>
        <w:ind w:firstLine="480"/>
        <w:jc w:val="both"/>
      </w:pPr>
      <w:r>
        <w:rPr>
          <w:rFonts w:ascii="宋体" w:eastAsia="宋体" w:hAnsi="宋体" w:cs="宋体"/>
          <w:sz w:val="24"/>
          <w:szCs w:val="24"/>
        </w:rPr>
        <w:t>职业足球俱乐部的经营活动具有显著的季节性特征。</w:t>
      </w:r>
      <w:proofErr w:type="gramStart"/>
      <w:r>
        <w:rPr>
          <w:rFonts w:ascii="宋体" w:eastAsia="宋体" w:hAnsi="宋体" w:cs="宋体"/>
          <w:sz w:val="24"/>
          <w:szCs w:val="24"/>
        </w:rPr>
        <w:t>曼</w:t>
      </w:r>
      <w:proofErr w:type="gramEnd"/>
      <w:r>
        <w:rPr>
          <w:rFonts w:ascii="宋体" w:eastAsia="宋体" w:hAnsi="宋体" w:cs="宋体"/>
          <w:sz w:val="24"/>
          <w:szCs w:val="24"/>
        </w:rPr>
        <w:t>联的财政年度为每年7月1日至次年6月30日，与英超赛季高度对应。在一个正常赛季中，收入高峰集中在每年10月至次年5月的联赛主场期间，以及欧洲杯赛（若晋级）的2月至5月欧战淘汰赛阶段；7月至9月为赛季开始前的低谷期，主要收入来自商业赛事和季前赛。</w:t>
      </w:r>
    </w:p>
    <w:p w14:paraId="2C4B7F68" w14:textId="77777777" w:rsidR="0019540F" w:rsidRDefault="00000000">
      <w:pPr>
        <w:spacing w:line="480" w:lineRule="auto"/>
        <w:ind w:firstLine="480"/>
        <w:jc w:val="both"/>
      </w:pPr>
      <w:r>
        <w:rPr>
          <w:rFonts w:ascii="宋体" w:eastAsia="宋体" w:hAnsi="宋体" w:cs="宋体"/>
          <w:sz w:val="24"/>
          <w:szCs w:val="24"/>
        </w:rPr>
        <w:t>从历史数据看，新冠疫情对</w:t>
      </w:r>
      <w:proofErr w:type="gramStart"/>
      <w:r>
        <w:rPr>
          <w:rFonts w:ascii="宋体" w:eastAsia="宋体" w:hAnsi="宋体" w:cs="宋体"/>
          <w:sz w:val="24"/>
          <w:szCs w:val="24"/>
        </w:rPr>
        <w:t>曼</w:t>
      </w:r>
      <w:proofErr w:type="gramEnd"/>
      <w:r>
        <w:rPr>
          <w:rFonts w:ascii="宋体" w:eastAsia="宋体" w:hAnsi="宋体" w:cs="宋体"/>
          <w:sz w:val="24"/>
          <w:szCs w:val="24"/>
        </w:rPr>
        <w:t>联的经营造成了严重冲击：FY2021（截至</w:t>
      </w:r>
      <w:r>
        <w:rPr>
          <w:rFonts w:ascii="宋体" w:eastAsia="宋体" w:hAnsi="宋体" w:cs="宋体"/>
          <w:sz w:val="24"/>
          <w:szCs w:val="24"/>
        </w:rPr>
        <w:lastRenderedPageBreak/>
        <w:t>2021年6月）全年收入仅为4.94亿英镑，较疫情前的FY2019（6.27亿英镑）骤降约21%，主要原因是球场限制入场导致比赛日收入基本归零（仅约700万英镑）。随着限制解除，比赛日收入于FY2022迅速回升至1.09亿英镑，FY2024进一步增至1.37亿英镑。</w:t>
      </w:r>
    </w:p>
    <w:p w14:paraId="67639012" w14:textId="77777777" w:rsidR="0019540F" w:rsidRDefault="00000000">
      <w:pPr>
        <w:spacing w:line="480" w:lineRule="auto"/>
        <w:ind w:firstLine="480"/>
        <w:jc w:val="both"/>
      </w:pPr>
      <w:r>
        <w:rPr>
          <w:rFonts w:ascii="宋体" w:eastAsia="宋体" w:hAnsi="宋体" w:cs="宋体"/>
          <w:sz w:val="24"/>
          <w:szCs w:val="24"/>
        </w:rPr>
        <w:t>经济周期方面，足球俱乐部赞助收入受宏观经济形势影响相对有限，但并非完全免疫。在经济下行周期中，企业赞助预算倾向于削减，可能影响商业合同续签价格。然而，</w:t>
      </w:r>
      <w:proofErr w:type="gramStart"/>
      <w:r>
        <w:rPr>
          <w:rFonts w:ascii="宋体" w:eastAsia="宋体" w:hAnsi="宋体" w:cs="宋体"/>
          <w:sz w:val="24"/>
          <w:szCs w:val="24"/>
        </w:rPr>
        <w:t>曼联品牌</w:t>
      </w:r>
      <w:proofErr w:type="gramEnd"/>
      <w:r>
        <w:rPr>
          <w:rFonts w:ascii="宋体" w:eastAsia="宋体" w:hAnsi="宋体" w:cs="宋体"/>
          <w:sz w:val="24"/>
          <w:szCs w:val="24"/>
        </w:rPr>
        <w:t>的全球影响力提供了一定的"溢价保护"，其商业收入FY2025达到3.33亿英镑（同比增长10%），展现了强劲的品牌吸引力。</w:t>
      </w:r>
      <w:proofErr w:type="gramStart"/>
      <w:r>
        <w:rPr>
          <w:rFonts w:ascii="宋体" w:eastAsia="宋体" w:hAnsi="宋体" w:cs="宋体"/>
          <w:sz w:val="24"/>
          <w:szCs w:val="24"/>
        </w:rPr>
        <w:t>曼</w:t>
      </w:r>
      <w:proofErr w:type="gramEnd"/>
      <w:r>
        <w:rPr>
          <w:rFonts w:ascii="宋体" w:eastAsia="宋体" w:hAnsi="宋体" w:cs="宋体"/>
          <w:sz w:val="24"/>
          <w:szCs w:val="24"/>
        </w:rPr>
        <w:t>联管理层通过建立长期固定合同（平均合同期3至5年）来降低短期经济波动风险。</w:t>
      </w:r>
    </w:p>
    <w:p w14:paraId="719AF3D4" w14:textId="77777777" w:rsidR="0019540F" w:rsidRDefault="00000000">
      <w:pPr>
        <w:spacing w:line="480" w:lineRule="auto"/>
        <w:ind w:firstLine="480"/>
        <w:jc w:val="both"/>
      </w:pPr>
      <w:r>
        <w:rPr>
          <w:rFonts w:ascii="宋体" w:eastAsia="宋体" w:hAnsi="宋体" w:cs="宋体"/>
          <w:sz w:val="24"/>
          <w:szCs w:val="24"/>
        </w:rPr>
        <w:t>值得关注的是，竞技成绩与财务季节性深度耦合：</w:t>
      </w:r>
      <w:proofErr w:type="gramStart"/>
      <w:r>
        <w:rPr>
          <w:rFonts w:ascii="宋体" w:eastAsia="宋体" w:hAnsi="宋体" w:cs="宋体"/>
          <w:sz w:val="24"/>
          <w:szCs w:val="24"/>
        </w:rPr>
        <w:t>欧冠参赛</w:t>
      </w:r>
      <w:proofErr w:type="gramEnd"/>
      <w:r>
        <w:rPr>
          <w:rFonts w:ascii="宋体" w:eastAsia="宋体" w:hAnsi="宋体" w:cs="宋体"/>
          <w:sz w:val="24"/>
          <w:szCs w:val="24"/>
        </w:rPr>
        <w:t>资格可带来约5,000万至1亿英镑的额外转播及奖金收入；而</w:t>
      </w:r>
      <w:proofErr w:type="gramStart"/>
      <w:r>
        <w:rPr>
          <w:rFonts w:ascii="宋体" w:eastAsia="宋体" w:hAnsi="宋体" w:cs="宋体"/>
          <w:sz w:val="24"/>
          <w:szCs w:val="24"/>
        </w:rPr>
        <w:t>曼</w:t>
      </w:r>
      <w:proofErr w:type="gramEnd"/>
      <w:r>
        <w:rPr>
          <w:rFonts w:ascii="宋体" w:eastAsia="宋体" w:hAnsi="宋体" w:cs="宋体"/>
          <w:sz w:val="24"/>
          <w:szCs w:val="24"/>
        </w:rPr>
        <w:t>联2024/25赛季未能晋级任何欧洲赛事（仅参加欧</w:t>
      </w:r>
      <w:proofErr w:type="gramStart"/>
      <w:r>
        <w:rPr>
          <w:rFonts w:ascii="宋体" w:eastAsia="宋体" w:hAnsi="宋体" w:cs="宋体"/>
          <w:sz w:val="24"/>
          <w:szCs w:val="24"/>
        </w:rPr>
        <w:t>联杯且</w:t>
      </w:r>
      <w:proofErr w:type="gramEnd"/>
      <w:r>
        <w:rPr>
          <w:rFonts w:ascii="宋体" w:eastAsia="宋体" w:hAnsi="宋体" w:cs="宋体"/>
          <w:sz w:val="24"/>
          <w:szCs w:val="24"/>
        </w:rPr>
        <w:t>未能出线），导致FY2025转播收入同比有所下降，印证了竞技成绩对财务业绩的直接传导机制。</w:t>
      </w:r>
    </w:p>
    <w:p w14:paraId="6088FE6E" w14:textId="77777777" w:rsidR="0019540F" w:rsidRDefault="00000000">
      <w:pPr>
        <w:spacing w:before="120" w:after="60" w:line="480" w:lineRule="auto"/>
      </w:pPr>
      <w:r>
        <w:rPr>
          <w:rFonts w:ascii="宋体" w:eastAsia="宋体" w:hAnsi="宋体" w:cs="宋体"/>
          <w:b/>
          <w:bCs/>
          <w:sz w:val="24"/>
          <w:szCs w:val="24"/>
        </w:rPr>
        <w:t>（三）核心技术、生产技术水平及技术发展影响</w:t>
      </w:r>
    </w:p>
    <w:p w14:paraId="0295A9E4" w14:textId="77777777" w:rsidR="0019540F" w:rsidRDefault="00000000">
      <w:pPr>
        <w:spacing w:line="480" w:lineRule="auto"/>
        <w:ind w:firstLine="480"/>
        <w:jc w:val="both"/>
      </w:pPr>
      <w:r>
        <w:rPr>
          <w:rFonts w:ascii="宋体" w:eastAsia="宋体" w:hAnsi="宋体" w:cs="宋体"/>
          <w:sz w:val="24"/>
          <w:szCs w:val="24"/>
        </w:rPr>
        <w:t>职业足球俱乐部的"核心技术"主要体现在数据分析与球员管理、数字媒体技术及球场运营智慧化三大领域，而非传统制造业意义上的生产技术。</w:t>
      </w:r>
    </w:p>
    <w:p w14:paraId="42A340D5" w14:textId="77777777" w:rsidR="0019540F" w:rsidRDefault="00000000">
      <w:pPr>
        <w:spacing w:line="480" w:lineRule="auto"/>
        <w:ind w:firstLine="480"/>
        <w:jc w:val="both"/>
      </w:pPr>
      <w:r>
        <w:rPr>
          <w:rFonts w:ascii="宋体" w:eastAsia="宋体" w:hAnsi="宋体" w:cs="宋体"/>
          <w:sz w:val="24"/>
          <w:szCs w:val="24"/>
        </w:rPr>
        <w:t>在数据分析与球员管理技术方面，</w:t>
      </w:r>
      <w:proofErr w:type="gramStart"/>
      <w:r>
        <w:rPr>
          <w:rFonts w:ascii="宋体" w:eastAsia="宋体" w:hAnsi="宋体" w:cs="宋体"/>
          <w:sz w:val="24"/>
          <w:szCs w:val="24"/>
        </w:rPr>
        <w:t>曼联建立</w:t>
      </w:r>
      <w:proofErr w:type="gramEnd"/>
      <w:r>
        <w:rPr>
          <w:rFonts w:ascii="宋体" w:eastAsia="宋体" w:hAnsi="宋体" w:cs="宋体"/>
          <w:sz w:val="24"/>
          <w:szCs w:val="24"/>
        </w:rPr>
        <w:t>了体育科学与分析部门，采用</w:t>
      </w:r>
      <w:proofErr w:type="spellStart"/>
      <w:r>
        <w:rPr>
          <w:rFonts w:ascii="宋体" w:eastAsia="宋体" w:hAnsi="宋体" w:cs="宋体"/>
          <w:sz w:val="24"/>
          <w:szCs w:val="24"/>
        </w:rPr>
        <w:t>Opta</w:t>
      </w:r>
      <w:proofErr w:type="spellEnd"/>
      <w:r>
        <w:rPr>
          <w:rFonts w:ascii="宋体" w:eastAsia="宋体" w:hAnsi="宋体" w:cs="宋体"/>
          <w:sz w:val="24"/>
          <w:szCs w:val="24"/>
        </w:rPr>
        <w:t>、</w:t>
      </w:r>
      <w:proofErr w:type="spellStart"/>
      <w:r>
        <w:rPr>
          <w:rFonts w:ascii="宋体" w:eastAsia="宋体" w:hAnsi="宋体" w:cs="宋体"/>
          <w:sz w:val="24"/>
          <w:szCs w:val="24"/>
        </w:rPr>
        <w:t>StatsBomb</w:t>
      </w:r>
      <w:proofErr w:type="spellEnd"/>
      <w:r>
        <w:rPr>
          <w:rFonts w:ascii="宋体" w:eastAsia="宋体" w:hAnsi="宋体" w:cs="宋体"/>
          <w:sz w:val="24"/>
          <w:szCs w:val="24"/>
        </w:rPr>
        <w:t>等专业运动数据平台对球员表现进行量化评估，辅助教练决策和转会市场筛选。</w:t>
      </w:r>
      <w:proofErr w:type="gramStart"/>
      <w:r>
        <w:rPr>
          <w:rFonts w:ascii="宋体" w:eastAsia="宋体" w:hAnsi="宋体" w:cs="宋体"/>
          <w:sz w:val="24"/>
          <w:szCs w:val="24"/>
        </w:rPr>
        <w:t>曼</w:t>
      </w:r>
      <w:proofErr w:type="gramEnd"/>
      <w:r>
        <w:rPr>
          <w:rFonts w:ascii="宋体" w:eastAsia="宋体" w:hAnsi="宋体" w:cs="宋体"/>
          <w:sz w:val="24"/>
          <w:szCs w:val="24"/>
        </w:rPr>
        <w:t>联近年聘请首席数据官，强化以数据驱动的球队建设模式，这是对曼城、利物浦等领先俱乐部数据化改革的追赶。值得一提的是，</w:t>
      </w:r>
      <w:proofErr w:type="gramStart"/>
      <w:r>
        <w:rPr>
          <w:rFonts w:ascii="宋体" w:eastAsia="宋体" w:hAnsi="宋体" w:cs="宋体"/>
          <w:sz w:val="24"/>
          <w:szCs w:val="24"/>
        </w:rPr>
        <w:t>曼</w:t>
      </w:r>
      <w:proofErr w:type="gramEnd"/>
      <w:r>
        <w:rPr>
          <w:rFonts w:ascii="宋体" w:eastAsia="宋体" w:hAnsi="宋体" w:cs="宋体"/>
          <w:sz w:val="24"/>
          <w:szCs w:val="24"/>
        </w:rPr>
        <w:lastRenderedPageBreak/>
        <w:t>联于2024年宣布与微软（Microsoft）建立战略合作伙伴关系，探索人工智能在训练分析、球迷互动及运营效率方面的应用，技术赋能布局显著领先于行业多数同行。</w:t>
      </w:r>
    </w:p>
    <w:p w14:paraId="0BFAFD48" w14:textId="77777777" w:rsidR="0019540F" w:rsidRDefault="00000000">
      <w:pPr>
        <w:spacing w:line="480" w:lineRule="auto"/>
        <w:ind w:firstLine="480"/>
        <w:jc w:val="both"/>
      </w:pPr>
      <w:r>
        <w:rPr>
          <w:rFonts w:ascii="宋体" w:eastAsia="宋体" w:hAnsi="宋体" w:cs="宋体"/>
          <w:sz w:val="24"/>
          <w:szCs w:val="24"/>
        </w:rPr>
        <w:t>在数字媒体与内容技术方面，</w:t>
      </w:r>
      <w:proofErr w:type="gramStart"/>
      <w:r>
        <w:rPr>
          <w:rFonts w:ascii="宋体" w:eastAsia="宋体" w:hAnsi="宋体" w:cs="宋体"/>
          <w:sz w:val="24"/>
          <w:szCs w:val="24"/>
        </w:rPr>
        <w:t>曼</w:t>
      </w:r>
      <w:proofErr w:type="gramEnd"/>
      <w:r>
        <w:rPr>
          <w:rFonts w:ascii="宋体" w:eastAsia="宋体" w:hAnsi="宋体" w:cs="宋体"/>
          <w:sz w:val="24"/>
          <w:szCs w:val="24"/>
        </w:rPr>
        <w:t>联运营MUTV（</w:t>
      </w:r>
      <w:proofErr w:type="gramStart"/>
      <w:r>
        <w:rPr>
          <w:rFonts w:ascii="宋体" w:eastAsia="宋体" w:hAnsi="宋体" w:cs="宋体"/>
          <w:sz w:val="24"/>
          <w:szCs w:val="24"/>
        </w:rPr>
        <w:t>曼</w:t>
      </w:r>
      <w:proofErr w:type="gramEnd"/>
      <w:r>
        <w:rPr>
          <w:rFonts w:ascii="宋体" w:eastAsia="宋体" w:hAnsi="宋体" w:cs="宋体"/>
          <w:sz w:val="24"/>
          <w:szCs w:val="24"/>
        </w:rPr>
        <w:t>联电视）及官方App，覆盖全球数亿球迷，数字订阅和流媒体内容是商业收入的重要组成部分。行业技术发展的重要趋势是流媒体平台（如DAZN、Amazon Prime Video等）对传统广播权益的替代性竞争，正在推动转播版权价格重新分配，</w:t>
      </w:r>
      <w:proofErr w:type="gramStart"/>
      <w:r>
        <w:rPr>
          <w:rFonts w:ascii="宋体" w:eastAsia="宋体" w:hAnsi="宋体" w:cs="宋体"/>
          <w:sz w:val="24"/>
          <w:szCs w:val="24"/>
        </w:rPr>
        <w:t>曼联需</w:t>
      </w:r>
      <w:proofErr w:type="gramEnd"/>
      <w:r>
        <w:rPr>
          <w:rFonts w:ascii="宋体" w:eastAsia="宋体" w:hAnsi="宋体" w:cs="宋体"/>
          <w:sz w:val="24"/>
          <w:szCs w:val="24"/>
        </w:rPr>
        <w:t>密切跟踪这一变化对未来转播收入的影响。</w:t>
      </w:r>
    </w:p>
    <w:p w14:paraId="36D36BBA" w14:textId="77777777" w:rsidR="0019540F" w:rsidRDefault="00000000">
      <w:pPr>
        <w:spacing w:line="480" w:lineRule="auto"/>
        <w:ind w:firstLine="480"/>
        <w:jc w:val="both"/>
      </w:pPr>
      <w:r>
        <w:rPr>
          <w:rFonts w:ascii="宋体" w:eastAsia="宋体" w:hAnsi="宋体" w:cs="宋体"/>
          <w:sz w:val="24"/>
          <w:szCs w:val="24"/>
        </w:rPr>
        <w:t>在球场智慧化运营方面，老特拉福德球场因建于</w:t>
      </w:r>
      <w:proofErr w:type="gramStart"/>
      <w:r>
        <w:rPr>
          <w:rFonts w:ascii="宋体" w:eastAsia="宋体" w:hAnsi="宋体" w:cs="宋体"/>
          <w:sz w:val="24"/>
          <w:szCs w:val="24"/>
        </w:rPr>
        <w:t>1910</w:t>
      </w:r>
      <w:proofErr w:type="gramEnd"/>
      <w:r>
        <w:rPr>
          <w:rFonts w:ascii="宋体" w:eastAsia="宋体" w:hAnsi="宋体" w:cs="宋体"/>
          <w:sz w:val="24"/>
          <w:szCs w:val="24"/>
        </w:rPr>
        <w:t>年代，设施老化问题突出，</w:t>
      </w:r>
      <w:proofErr w:type="gramStart"/>
      <w:r>
        <w:rPr>
          <w:rFonts w:ascii="宋体" w:eastAsia="宋体" w:hAnsi="宋体" w:cs="宋体"/>
          <w:sz w:val="24"/>
          <w:szCs w:val="24"/>
        </w:rPr>
        <w:t>曼</w:t>
      </w:r>
      <w:proofErr w:type="gramEnd"/>
      <w:r>
        <w:rPr>
          <w:rFonts w:ascii="宋体" w:eastAsia="宋体" w:hAnsi="宋体" w:cs="宋体"/>
          <w:sz w:val="24"/>
          <w:szCs w:val="24"/>
        </w:rPr>
        <w:t>联已启动"老特拉福德重建任务力量"（Old Trafford Regeneration Task Force），探索球场翻新或重建方案，预计总投资超过20亿英镑。新球场若建成，将大幅提升比赛日收入容量并改善球迷体验，这是</w:t>
      </w:r>
      <w:proofErr w:type="gramStart"/>
      <w:r>
        <w:rPr>
          <w:rFonts w:ascii="宋体" w:eastAsia="宋体" w:hAnsi="宋体" w:cs="宋体"/>
          <w:sz w:val="24"/>
          <w:szCs w:val="24"/>
        </w:rPr>
        <w:t>曼联未来</w:t>
      </w:r>
      <w:proofErr w:type="gramEnd"/>
      <w:r>
        <w:rPr>
          <w:rFonts w:ascii="宋体" w:eastAsia="宋体" w:hAnsi="宋体" w:cs="宋体"/>
          <w:sz w:val="24"/>
          <w:szCs w:val="24"/>
        </w:rPr>
        <w:t>最大的资本性技术投资。与同行对比，曼城、热刺等球队已通过新球场或扩建完成设施升级，在比赛日收入竞争力方面形成优势，</w:t>
      </w:r>
      <w:proofErr w:type="gramStart"/>
      <w:r>
        <w:rPr>
          <w:rFonts w:ascii="宋体" w:eastAsia="宋体" w:hAnsi="宋体" w:cs="宋体"/>
          <w:sz w:val="24"/>
          <w:szCs w:val="24"/>
        </w:rPr>
        <w:t>曼联当前</w:t>
      </w:r>
      <w:proofErr w:type="gramEnd"/>
      <w:r>
        <w:rPr>
          <w:rFonts w:ascii="宋体" w:eastAsia="宋体" w:hAnsi="宋体" w:cs="宋体"/>
          <w:sz w:val="24"/>
          <w:szCs w:val="24"/>
        </w:rPr>
        <w:t>存在明显差距。</w:t>
      </w:r>
    </w:p>
    <w:p w14:paraId="67D89DBA" w14:textId="77777777" w:rsidR="0019540F" w:rsidRDefault="00000000">
      <w:pPr>
        <w:spacing w:before="120" w:after="60" w:line="480" w:lineRule="auto"/>
      </w:pPr>
      <w:r>
        <w:rPr>
          <w:rFonts w:ascii="宋体" w:eastAsia="宋体" w:hAnsi="宋体" w:cs="宋体"/>
          <w:b/>
          <w:bCs/>
          <w:sz w:val="24"/>
          <w:szCs w:val="24"/>
        </w:rPr>
        <w:t>（四）主要能源供应情况及能源成本对生产成本和盈利能力的影响</w:t>
      </w:r>
    </w:p>
    <w:p w14:paraId="7C27DCA2" w14:textId="77777777" w:rsidR="0019540F" w:rsidRDefault="00000000">
      <w:pPr>
        <w:spacing w:line="480" w:lineRule="auto"/>
        <w:ind w:firstLine="480"/>
        <w:jc w:val="both"/>
      </w:pPr>
      <w:r>
        <w:rPr>
          <w:rFonts w:ascii="宋体" w:eastAsia="宋体" w:hAnsi="宋体" w:cs="宋体"/>
          <w:sz w:val="24"/>
          <w:szCs w:val="24"/>
        </w:rPr>
        <w:t>职业足球俱乐部的能源消耗主要来源于球场运营（照明、供暖、制冷、草坪维护系统）、训练基地（卡灵</w:t>
      </w:r>
      <w:proofErr w:type="gramStart"/>
      <w:r>
        <w:rPr>
          <w:rFonts w:ascii="宋体" w:eastAsia="宋体" w:hAnsi="宋体" w:cs="宋体"/>
          <w:sz w:val="24"/>
          <w:szCs w:val="24"/>
        </w:rPr>
        <w:t>顿训练</w:t>
      </w:r>
      <w:proofErr w:type="gramEnd"/>
      <w:r>
        <w:rPr>
          <w:rFonts w:ascii="宋体" w:eastAsia="宋体" w:hAnsi="宋体" w:cs="宋体"/>
          <w:sz w:val="24"/>
          <w:szCs w:val="24"/>
        </w:rPr>
        <w:t>中心，正在进行重建升级，预算约5,000万英镑）及行政办公楼宇。能源成本属于</w:t>
      </w:r>
      <w:proofErr w:type="gramStart"/>
      <w:r>
        <w:rPr>
          <w:rFonts w:ascii="宋体" w:eastAsia="宋体" w:hAnsi="宋体" w:cs="宋体"/>
          <w:sz w:val="24"/>
          <w:szCs w:val="24"/>
        </w:rPr>
        <w:t>曼</w:t>
      </w:r>
      <w:proofErr w:type="gramEnd"/>
      <w:r>
        <w:rPr>
          <w:rFonts w:ascii="宋体" w:eastAsia="宋体" w:hAnsi="宋体" w:cs="宋体"/>
          <w:sz w:val="24"/>
          <w:szCs w:val="24"/>
        </w:rPr>
        <w:t>联运营支出的组成部分，但占总支出比重相对较低（整体运营成本中薪酬与球员摊销占主导地位）。</w:t>
      </w:r>
    </w:p>
    <w:p w14:paraId="20481A8E" w14:textId="77777777" w:rsidR="0019540F" w:rsidRDefault="00000000">
      <w:pPr>
        <w:spacing w:line="480" w:lineRule="auto"/>
        <w:ind w:firstLine="480"/>
        <w:jc w:val="both"/>
      </w:pPr>
      <w:r>
        <w:rPr>
          <w:rFonts w:ascii="宋体" w:eastAsia="宋体" w:hAnsi="宋体" w:cs="宋体"/>
          <w:sz w:val="24"/>
          <w:szCs w:val="24"/>
        </w:rPr>
        <w:t>2021至2023年间，受俄</w:t>
      </w:r>
      <w:proofErr w:type="gramStart"/>
      <w:r>
        <w:rPr>
          <w:rFonts w:ascii="宋体" w:eastAsia="宋体" w:hAnsi="宋体" w:cs="宋体"/>
          <w:sz w:val="24"/>
          <w:szCs w:val="24"/>
        </w:rPr>
        <w:t>乌冲突</w:t>
      </w:r>
      <w:proofErr w:type="gramEnd"/>
      <w:r>
        <w:rPr>
          <w:rFonts w:ascii="宋体" w:eastAsia="宋体" w:hAnsi="宋体" w:cs="宋体"/>
          <w:sz w:val="24"/>
          <w:szCs w:val="24"/>
        </w:rPr>
        <w:t>影响，欧洲天然气和电力价格大幅上涨，英国能源价格指数一度较2020年高点上升超过200%。这对</w:t>
      </w:r>
      <w:proofErr w:type="gramStart"/>
      <w:r>
        <w:rPr>
          <w:rFonts w:ascii="宋体" w:eastAsia="宋体" w:hAnsi="宋体" w:cs="宋体"/>
          <w:sz w:val="24"/>
          <w:szCs w:val="24"/>
        </w:rPr>
        <w:t>曼</w:t>
      </w:r>
      <w:proofErr w:type="gramEnd"/>
      <w:r>
        <w:rPr>
          <w:rFonts w:ascii="宋体" w:eastAsia="宋体" w:hAnsi="宋体" w:cs="宋体"/>
          <w:sz w:val="24"/>
          <w:szCs w:val="24"/>
        </w:rPr>
        <w:t>联球场及训练基地的</w:t>
      </w:r>
      <w:r>
        <w:rPr>
          <w:rFonts w:ascii="宋体" w:eastAsia="宋体" w:hAnsi="宋体" w:cs="宋体"/>
          <w:sz w:val="24"/>
          <w:szCs w:val="24"/>
        </w:rPr>
        <w:lastRenderedPageBreak/>
        <w:t>能源采购成本产生一定压力。根据年报披露，</w:t>
      </w:r>
      <w:proofErr w:type="gramStart"/>
      <w:r>
        <w:rPr>
          <w:rFonts w:ascii="宋体" w:eastAsia="宋体" w:hAnsi="宋体" w:cs="宋体"/>
          <w:sz w:val="24"/>
          <w:szCs w:val="24"/>
        </w:rPr>
        <w:t>曼</w:t>
      </w:r>
      <w:proofErr w:type="gramEnd"/>
      <w:r>
        <w:rPr>
          <w:rFonts w:ascii="宋体" w:eastAsia="宋体" w:hAnsi="宋体" w:cs="宋体"/>
          <w:sz w:val="24"/>
          <w:szCs w:val="24"/>
        </w:rPr>
        <w:t>联的一般行政费用（包含能源在内）在FY2023有所上升。为应对能源成本上升风险，</w:t>
      </w:r>
      <w:proofErr w:type="gramStart"/>
      <w:r>
        <w:rPr>
          <w:rFonts w:ascii="宋体" w:eastAsia="宋体" w:hAnsi="宋体" w:cs="宋体"/>
          <w:sz w:val="24"/>
          <w:szCs w:val="24"/>
        </w:rPr>
        <w:t>曼联采取</w:t>
      </w:r>
      <w:proofErr w:type="gramEnd"/>
      <w:r>
        <w:rPr>
          <w:rFonts w:ascii="宋体" w:eastAsia="宋体" w:hAnsi="宋体" w:cs="宋体"/>
          <w:sz w:val="24"/>
          <w:szCs w:val="24"/>
        </w:rPr>
        <w:t>了以下措施：与长期能源供应商签订固定价格合同以对</w:t>
      </w:r>
      <w:proofErr w:type="gramStart"/>
      <w:r>
        <w:rPr>
          <w:rFonts w:ascii="宋体" w:eastAsia="宋体" w:hAnsi="宋体" w:cs="宋体"/>
          <w:sz w:val="24"/>
          <w:szCs w:val="24"/>
        </w:rPr>
        <w:t>冲价格</w:t>
      </w:r>
      <w:proofErr w:type="gramEnd"/>
      <w:r>
        <w:rPr>
          <w:rFonts w:ascii="宋体" w:eastAsia="宋体" w:hAnsi="宋体" w:cs="宋体"/>
          <w:sz w:val="24"/>
          <w:szCs w:val="24"/>
        </w:rPr>
        <w:t>波动；推进老特拉福德球场及卡灵</w:t>
      </w:r>
      <w:proofErr w:type="gramStart"/>
      <w:r>
        <w:rPr>
          <w:rFonts w:ascii="宋体" w:eastAsia="宋体" w:hAnsi="宋体" w:cs="宋体"/>
          <w:sz w:val="24"/>
          <w:szCs w:val="24"/>
        </w:rPr>
        <w:t>顿训练</w:t>
      </w:r>
      <w:proofErr w:type="gramEnd"/>
      <w:r>
        <w:rPr>
          <w:rFonts w:ascii="宋体" w:eastAsia="宋体" w:hAnsi="宋体" w:cs="宋体"/>
          <w:sz w:val="24"/>
          <w:szCs w:val="24"/>
        </w:rPr>
        <w:t>中心的节能改造，部分设施已引入太阳能发电装置；积极推进可持续发展目标，承诺在2030年前实现</w:t>
      </w:r>
      <w:proofErr w:type="gramStart"/>
      <w:r>
        <w:rPr>
          <w:rFonts w:ascii="宋体" w:eastAsia="宋体" w:hAnsi="宋体" w:cs="宋体"/>
          <w:sz w:val="24"/>
          <w:szCs w:val="24"/>
        </w:rPr>
        <w:t>训练场地碳中和</w:t>
      </w:r>
      <w:proofErr w:type="gramEnd"/>
      <w:r>
        <w:rPr>
          <w:rFonts w:ascii="宋体" w:eastAsia="宋体" w:hAnsi="宋体" w:cs="宋体"/>
          <w:sz w:val="24"/>
          <w:szCs w:val="24"/>
        </w:rPr>
        <w:t>。</w:t>
      </w:r>
    </w:p>
    <w:p w14:paraId="092F7C0D" w14:textId="77777777" w:rsidR="0019540F" w:rsidRDefault="00000000">
      <w:pPr>
        <w:spacing w:line="480" w:lineRule="auto"/>
        <w:ind w:firstLine="480"/>
        <w:jc w:val="both"/>
      </w:pPr>
      <w:r>
        <w:rPr>
          <w:rFonts w:ascii="宋体" w:eastAsia="宋体" w:hAnsi="宋体" w:cs="宋体"/>
          <w:sz w:val="24"/>
          <w:szCs w:val="24"/>
        </w:rPr>
        <w:t>从行业整体看，能源成本并非影响英超俱乐部盈利能力的决定性因素。</w:t>
      </w:r>
      <w:proofErr w:type="gramStart"/>
      <w:r>
        <w:rPr>
          <w:rFonts w:ascii="宋体" w:eastAsia="宋体" w:hAnsi="宋体" w:cs="宋体"/>
          <w:sz w:val="24"/>
          <w:szCs w:val="24"/>
        </w:rPr>
        <w:t>曼</w:t>
      </w:r>
      <w:proofErr w:type="gramEnd"/>
      <w:r>
        <w:rPr>
          <w:rFonts w:ascii="宋体" w:eastAsia="宋体" w:hAnsi="宋体" w:cs="宋体"/>
          <w:sz w:val="24"/>
          <w:szCs w:val="24"/>
        </w:rPr>
        <w:t>联盈利能力的核心压力来自高薪</w:t>
      </w:r>
      <w:proofErr w:type="gramStart"/>
      <w:r>
        <w:rPr>
          <w:rFonts w:ascii="宋体" w:eastAsia="宋体" w:hAnsi="宋体" w:cs="宋体"/>
          <w:sz w:val="24"/>
          <w:szCs w:val="24"/>
        </w:rPr>
        <w:t>酬</w:t>
      </w:r>
      <w:proofErr w:type="gramEnd"/>
      <w:r>
        <w:rPr>
          <w:rFonts w:ascii="宋体" w:eastAsia="宋体" w:hAnsi="宋体" w:cs="宋体"/>
          <w:sz w:val="24"/>
          <w:szCs w:val="24"/>
        </w:rPr>
        <w:t>支出（FY2025年薪</w:t>
      </w:r>
      <w:proofErr w:type="gramStart"/>
      <w:r>
        <w:rPr>
          <w:rFonts w:ascii="宋体" w:eastAsia="宋体" w:hAnsi="宋体" w:cs="宋体"/>
          <w:sz w:val="24"/>
          <w:szCs w:val="24"/>
        </w:rPr>
        <w:t>酬</w:t>
      </w:r>
      <w:proofErr w:type="gramEnd"/>
      <w:r>
        <w:rPr>
          <w:rFonts w:ascii="宋体" w:eastAsia="宋体" w:hAnsi="宋体" w:cs="宋体"/>
          <w:sz w:val="24"/>
          <w:szCs w:val="24"/>
        </w:rPr>
        <w:t>成本约3.55亿英镑，占营收比重约53%）以及球员摊销（约2亿英镑），这两项合计占营收约83%，是制约俱乐部利润率的主要变量。能源成本</w:t>
      </w:r>
      <w:proofErr w:type="gramStart"/>
      <w:r>
        <w:rPr>
          <w:rFonts w:ascii="宋体" w:eastAsia="宋体" w:hAnsi="宋体" w:cs="宋体"/>
          <w:sz w:val="24"/>
          <w:szCs w:val="24"/>
        </w:rPr>
        <w:t>管控虽有助于</w:t>
      </w:r>
      <w:proofErr w:type="gramEnd"/>
      <w:r>
        <w:rPr>
          <w:rFonts w:ascii="宋体" w:eastAsia="宋体" w:hAnsi="宋体" w:cs="宋体"/>
          <w:sz w:val="24"/>
          <w:szCs w:val="24"/>
        </w:rPr>
        <w:t>改善边际成本，但对整体盈利能力的边际贡献相对有限。</w:t>
      </w:r>
    </w:p>
    <w:p w14:paraId="7DB6B69E" w14:textId="77777777" w:rsidR="0019540F" w:rsidRDefault="00000000">
      <w:pPr>
        <w:spacing w:before="120" w:after="60" w:line="480" w:lineRule="auto"/>
      </w:pPr>
      <w:r>
        <w:rPr>
          <w:rFonts w:ascii="宋体" w:eastAsia="宋体" w:hAnsi="宋体" w:cs="宋体"/>
          <w:b/>
          <w:bCs/>
          <w:sz w:val="24"/>
          <w:szCs w:val="24"/>
        </w:rPr>
        <w:t>（五）关键绩效指标与行业平均水平对比分析</w:t>
      </w:r>
    </w:p>
    <w:p w14:paraId="6588B891" w14:textId="77777777" w:rsidR="0019540F" w:rsidRDefault="00000000">
      <w:pPr>
        <w:spacing w:line="480" w:lineRule="auto"/>
        <w:ind w:firstLine="480"/>
        <w:jc w:val="both"/>
      </w:pPr>
      <w:r>
        <w:rPr>
          <w:rFonts w:ascii="宋体" w:eastAsia="宋体" w:hAnsi="宋体" w:cs="宋体"/>
          <w:sz w:val="24"/>
          <w:szCs w:val="24"/>
        </w:rPr>
        <w:t>以下结合</w:t>
      </w:r>
      <w:proofErr w:type="gramStart"/>
      <w:r>
        <w:rPr>
          <w:rFonts w:ascii="宋体" w:eastAsia="宋体" w:hAnsi="宋体" w:cs="宋体"/>
          <w:sz w:val="24"/>
          <w:szCs w:val="24"/>
        </w:rPr>
        <w:t>曼</w:t>
      </w:r>
      <w:proofErr w:type="gramEnd"/>
      <w:r>
        <w:rPr>
          <w:rFonts w:ascii="宋体" w:eastAsia="宋体" w:hAnsi="宋体" w:cs="宋体"/>
          <w:sz w:val="24"/>
          <w:szCs w:val="24"/>
        </w:rPr>
        <w:t>联FY2021至FY2025年五年财务数据，从多个维度进行关键绩效指标分析，并与行业平均水平及主要竞争对手进行对比。</w:t>
      </w:r>
    </w:p>
    <w:p w14:paraId="491D858A" w14:textId="77777777" w:rsidR="0019540F" w:rsidRDefault="00000000">
      <w:pPr>
        <w:spacing w:before="200" w:after="80" w:line="360" w:lineRule="auto"/>
        <w:jc w:val="center"/>
      </w:pPr>
      <w:r>
        <w:rPr>
          <w:rFonts w:ascii="宋体" w:eastAsia="宋体" w:hAnsi="宋体" w:cs="宋体"/>
          <w:b/>
          <w:bCs/>
          <w:sz w:val="22"/>
          <w:szCs w:val="22"/>
        </w:rPr>
        <w:t>表1：</w:t>
      </w:r>
      <w:proofErr w:type="gramStart"/>
      <w:r>
        <w:rPr>
          <w:rFonts w:ascii="宋体" w:eastAsia="宋体" w:hAnsi="宋体" w:cs="宋体"/>
          <w:b/>
          <w:bCs/>
          <w:sz w:val="22"/>
          <w:szCs w:val="22"/>
        </w:rPr>
        <w:t>曼</w:t>
      </w:r>
      <w:proofErr w:type="gramEnd"/>
      <w:r>
        <w:rPr>
          <w:rFonts w:ascii="宋体" w:eastAsia="宋体" w:hAnsi="宋体" w:cs="宋体"/>
          <w:b/>
          <w:bCs/>
          <w:sz w:val="22"/>
          <w:szCs w:val="22"/>
        </w:rPr>
        <w:t>联五年营收结构汇总（单位：百万英镑）</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4"/>
        <w:gridCol w:w="1513"/>
        <w:gridCol w:w="1513"/>
        <w:gridCol w:w="1513"/>
        <w:gridCol w:w="1524"/>
        <w:gridCol w:w="1519"/>
      </w:tblGrid>
      <w:tr w:rsidR="0019540F" w14:paraId="424A7AF0" w14:textId="77777777">
        <w:tblPrEx>
          <w:tblCellMar>
            <w:top w:w="0" w:type="dxa"/>
            <w:bottom w:w="0" w:type="dxa"/>
          </w:tblCellMar>
        </w:tblPrEx>
        <w:tc>
          <w:tcPr>
            <w:tcW w:w="1540" w:type="dxa"/>
            <w:tcBorders>
              <w:top w:val="single" w:sz="1" w:space="0" w:color="000000"/>
              <w:left w:val="single" w:sz="1" w:space="0" w:color="000000"/>
              <w:bottom w:val="single" w:sz="1" w:space="0" w:color="000000"/>
              <w:right w:val="single" w:sz="1" w:space="0" w:color="000000"/>
            </w:tcBorders>
            <w:shd w:val="clear" w:color="auto" w:fill="D0E4F1"/>
            <w:tcMar>
              <w:top w:w="80" w:type="dxa"/>
              <w:left w:w="120" w:type="dxa"/>
              <w:bottom w:w="80" w:type="dxa"/>
              <w:right w:w="120" w:type="dxa"/>
            </w:tcMar>
            <w:vAlign w:val="center"/>
          </w:tcPr>
          <w:p w14:paraId="0C98EA6F" w14:textId="77777777" w:rsidR="0019540F" w:rsidRDefault="00000000">
            <w:pPr>
              <w:jc w:val="center"/>
            </w:pPr>
            <w:r>
              <w:rPr>
                <w:rFonts w:ascii="宋体" w:eastAsia="宋体" w:hAnsi="宋体" w:cs="宋体"/>
                <w:b/>
                <w:bCs/>
              </w:rPr>
              <w:t>财年</w:t>
            </w:r>
          </w:p>
        </w:tc>
        <w:tc>
          <w:tcPr>
            <w:tcW w:w="1350" w:type="dxa"/>
            <w:tcBorders>
              <w:top w:val="single" w:sz="1" w:space="0" w:color="000000"/>
              <w:left w:val="single" w:sz="1" w:space="0" w:color="000000"/>
              <w:bottom w:val="single" w:sz="1" w:space="0" w:color="000000"/>
              <w:right w:val="single" w:sz="1" w:space="0" w:color="000000"/>
            </w:tcBorders>
            <w:shd w:val="clear" w:color="auto" w:fill="D0E4F1"/>
            <w:tcMar>
              <w:top w:w="80" w:type="dxa"/>
              <w:left w:w="120" w:type="dxa"/>
              <w:bottom w:w="80" w:type="dxa"/>
              <w:right w:w="120" w:type="dxa"/>
            </w:tcMar>
            <w:vAlign w:val="center"/>
          </w:tcPr>
          <w:p w14:paraId="61665BFF" w14:textId="77777777" w:rsidR="0019540F" w:rsidRDefault="00000000">
            <w:pPr>
              <w:jc w:val="center"/>
            </w:pPr>
            <w:r>
              <w:rPr>
                <w:rFonts w:ascii="宋体" w:eastAsia="宋体" w:hAnsi="宋体" w:cs="宋体"/>
                <w:b/>
                <w:bCs/>
              </w:rPr>
              <w:t>FY2021</w:t>
            </w:r>
          </w:p>
        </w:tc>
        <w:tc>
          <w:tcPr>
            <w:tcW w:w="1350" w:type="dxa"/>
            <w:tcBorders>
              <w:top w:val="single" w:sz="1" w:space="0" w:color="000000"/>
              <w:left w:val="single" w:sz="1" w:space="0" w:color="000000"/>
              <w:bottom w:val="single" w:sz="1" w:space="0" w:color="000000"/>
              <w:right w:val="single" w:sz="1" w:space="0" w:color="000000"/>
            </w:tcBorders>
            <w:shd w:val="clear" w:color="auto" w:fill="D0E4F1"/>
            <w:tcMar>
              <w:top w:w="80" w:type="dxa"/>
              <w:left w:w="120" w:type="dxa"/>
              <w:bottom w:w="80" w:type="dxa"/>
              <w:right w:w="120" w:type="dxa"/>
            </w:tcMar>
            <w:vAlign w:val="center"/>
          </w:tcPr>
          <w:p w14:paraId="2EE41DE7" w14:textId="77777777" w:rsidR="0019540F" w:rsidRDefault="00000000">
            <w:pPr>
              <w:jc w:val="center"/>
            </w:pPr>
            <w:r>
              <w:rPr>
                <w:rFonts w:ascii="宋体" w:eastAsia="宋体" w:hAnsi="宋体" w:cs="宋体"/>
                <w:b/>
                <w:bCs/>
              </w:rPr>
              <w:t>FY2022</w:t>
            </w:r>
          </w:p>
        </w:tc>
        <w:tc>
          <w:tcPr>
            <w:tcW w:w="1350" w:type="dxa"/>
            <w:tcBorders>
              <w:top w:val="single" w:sz="1" w:space="0" w:color="000000"/>
              <w:left w:val="single" w:sz="1" w:space="0" w:color="000000"/>
              <w:bottom w:val="single" w:sz="1" w:space="0" w:color="000000"/>
              <w:right w:val="single" w:sz="1" w:space="0" w:color="000000"/>
            </w:tcBorders>
            <w:shd w:val="clear" w:color="auto" w:fill="D0E4F1"/>
            <w:tcMar>
              <w:top w:w="80" w:type="dxa"/>
              <w:left w:w="120" w:type="dxa"/>
              <w:bottom w:w="80" w:type="dxa"/>
              <w:right w:w="120" w:type="dxa"/>
            </w:tcMar>
            <w:vAlign w:val="center"/>
          </w:tcPr>
          <w:p w14:paraId="005BFFB6" w14:textId="77777777" w:rsidR="0019540F" w:rsidRDefault="00000000">
            <w:pPr>
              <w:jc w:val="center"/>
            </w:pPr>
            <w:r>
              <w:rPr>
                <w:rFonts w:ascii="宋体" w:eastAsia="宋体" w:hAnsi="宋体" w:cs="宋体"/>
                <w:b/>
                <w:bCs/>
              </w:rPr>
              <w:t>FY2023</w:t>
            </w:r>
          </w:p>
        </w:tc>
        <w:tc>
          <w:tcPr>
            <w:tcW w:w="1360" w:type="dxa"/>
            <w:tcBorders>
              <w:top w:val="single" w:sz="1" w:space="0" w:color="000000"/>
              <w:left w:val="single" w:sz="1" w:space="0" w:color="000000"/>
              <w:bottom w:val="single" w:sz="1" w:space="0" w:color="000000"/>
              <w:right w:val="single" w:sz="1" w:space="0" w:color="000000"/>
            </w:tcBorders>
            <w:shd w:val="clear" w:color="auto" w:fill="D0E4F1"/>
            <w:tcMar>
              <w:top w:w="80" w:type="dxa"/>
              <w:left w:w="120" w:type="dxa"/>
              <w:bottom w:w="80" w:type="dxa"/>
              <w:right w:w="120" w:type="dxa"/>
            </w:tcMar>
            <w:vAlign w:val="center"/>
          </w:tcPr>
          <w:p w14:paraId="646DA5F5" w14:textId="77777777" w:rsidR="0019540F" w:rsidRDefault="00000000">
            <w:pPr>
              <w:jc w:val="center"/>
            </w:pPr>
            <w:r>
              <w:rPr>
                <w:rFonts w:ascii="宋体" w:eastAsia="宋体" w:hAnsi="宋体" w:cs="宋体"/>
                <w:b/>
                <w:bCs/>
              </w:rPr>
              <w:t>FY2024</w:t>
            </w:r>
          </w:p>
        </w:tc>
        <w:tc>
          <w:tcPr>
            <w:tcW w:w="1356" w:type="dxa"/>
            <w:tcBorders>
              <w:top w:val="single" w:sz="1" w:space="0" w:color="000000"/>
              <w:left w:val="single" w:sz="1" w:space="0" w:color="000000"/>
              <w:bottom w:val="single" w:sz="1" w:space="0" w:color="000000"/>
              <w:right w:val="single" w:sz="1" w:space="0" w:color="000000"/>
            </w:tcBorders>
            <w:shd w:val="clear" w:color="auto" w:fill="D0E4F1"/>
            <w:tcMar>
              <w:top w:w="80" w:type="dxa"/>
              <w:left w:w="120" w:type="dxa"/>
              <w:bottom w:w="80" w:type="dxa"/>
              <w:right w:w="120" w:type="dxa"/>
            </w:tcMar>
            <w:vAlign w:val="center"/>
          </w:tcPr>
          <w:p w14:paraId="5D8494BA" w14:textId="77777777" w:rsidR="0019540F" w:rsidRDefault="00000000">
            <w:pPr>
              <w:jc w:val="center"/>
            </w:pPr>
            <w:r>
              <w:rPr>
                <w:rFonts w:ascii="宋体" w:eastAsia="宋体" w:hAnsi="宋体" w:cs="宋体"/>
                <w:b/>
                <w:bCs/>
              </w:rPr>
              <w:t>FY2025</w:t>
            </w:r>
          </w:p>
        </w:tc>
      </w:tr>
      <w:tr w:rsidR="0019540F" w14:paraId="1F3A938F" w14:textId="77777777">
        <w:tblPrEx>
          <w:tblCellMar>
            <w:top w:w="0" w:type="dxa"/>
            <w:bottom w:w="0" w:type="dxa"/>
          </w:tblCellMar>
        </w:tblPrEx>
        <w:tc>
          <w:tcPr>
            <w:tcW w:w="15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5B1B16" w14:textId="77777777" w:rsidR="0019540F" w:rsidRDefault="00000000">
            <w:pPr>
              <w:jc w:val="center"/>
            </w:pPr>
            <w:r>
              <w:rPr>
                <w:rFonts w:ascii="宋体" w:eastAsia="宋体" w:hAnsi="宋体" w:cs="宋体"/>
              </w:rPr>
              <w:t>商业收入</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2AE2EC" w14:textId="77777777" w:rsidR="0019540F" w:rsidRDefault="00000000">
            <w:pPr>
              <w:jc w:val="center"/>
            </w:pPr>
            <w:r>
              <w:rPr>
                <w:rFonts w:ascii="宋体" w:eastAsia="宋体" w:hAnsi="宋体" w:cs="宋体"/>
              </w:rPr>
              <w:t>232.2</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505FF6" w14:textId="77777777" w:rsidR="0019540F" w:rsidRDefault="00000000">
            <w:pPr>
              <w:jc w:val="center"/>
            </w:pPr>
            <w:r>
              <w:rPr>
                <w:rFonts w:ascii="宋体" w:eastAsia="宋体" w:hAnsi="宋体" w:cs="宋体"/>
              </w:rPr>
              <w:t>259.8</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7E2D3F" w14:textId="77777777" w:rsidR="0019540F" w:rsidRDefault="00000000">
            <w:pPr>
              <w:jc w:val="center"/>
            </w:pPr>
            <w:r>
              <w:rPr>
                <w:rFonts w:ascii="宋体" w:eastAsia="宋体" w:hAnsi="宋体" w:cs="宋体"/>
              </w:rPr>
              <w:t>302.9</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9A8B4E" w14:textId="77777777" w:rsidR="0019540F" w:rsidRDefault="00000000">
            <w:pPr>
              <w:jc w:val="center"/>
            </w:pPr>
            <w:r>
              <w:rPr>
                <w:rFonts w:ascii="宋体" w:eastAsia="宋体" w:hAnsi="宋体" w:cs="宋体"/>
              </w:rPr>
              <w:t>302.9</w:t>
            </w:r>
          </w:p>
        </w:tc>
        <w:tc>
          <w:tcPr>
            <w:tcW w:w="13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DED268" w14:textId="77777777" w:rsidR="0019540F" w:rsidRDefault="00000000">
            <w:pPr>
              <w:jc w:val="center"/>
            </w:pPr>
            <w:r>
              <w:rPr>
                <w:rFonts w:ascii="宋体" w:eastAsia="宋体" w:hAnsi="宋体" w:cs="宋体"/>
              </w:rPr>
              <w:t>333.3</w:t>
            </w:r>
          </w:p>
        </w:tc>
      </w:tr>
      <w:tr w:rsidR="0019540F" w14:paraId="6B05B352" w14:textId="77777777">
        <w:tblPrEx>
          <w:tblCellMar>
            <w:top w:w="0" w:type="dxa"/>
            <w:bottom w:w="0" w:type="dxa"/>
          </w:tblCellMar>
        </w:tblPrEx>
        <w:tc>
          <w:tcPr>
            <w:tcW w:w="15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3BA7A2" w14:textId="77777777" w:rsidR="0019540F" w:rsidRDefault="00000000">
            <w:pPr>
              <w:jc w:val="center"/>
            </w:pPr>
            <w:r>
              <w:rPr>
                <w:rFonts w:ascii="宋体" w:eastAsia="宋体" w:hAnsi="宋体" w:cs="宋体"/>
              </w:rPr>
              <w:t>转播收入</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9AC967" w14:textId="77777777" w:rsidR="0019540F" w:rsidRDefault="00000000">
            <w:pPr>
              <w:jc w:val="center"/>
            </w:pPr>
            <w:r>
              <w:rPr>
                <w:rFonts w:ascii="宋体" w:eastAsia="宋体" w:hAnsi="宋体" w:cs="宋体"/>
              </w:rPr>
              <w:t>147.9</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2D6AEA" w14:textId="77777777" w:rsidR="0019540F" w:rsidRDefault="00000000">
            <w:pPr>
              <w:jc w:val="center"/>
            </w:pPr>
            <w:r>
              <w:rPr>
                <w:rFonts w:ascii="宋体" w:eastAsia="宋体" w:hAnsi="宋体" w:cs="宋体"/>
              </w:rPr>
              <w:t>199.1</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6B8A38" w14:textId="77777777" w:rsidR="0019540F" w:rsidRDefault="00000000">
            <w:pPr>
              <w:jc w:val="center"/>
            </w:pPr>
            <w:r>
              <w:rPr>
                <w:rFonts w:ascii="宋体" w:eastAsia="宋体" w:hAnsi="宋体" w:cs="宋体"/>
              </w:rPr>
              <w:t>209.1</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A25FCF" w14:textId="77777777" w:rsidR="0019540F" w:rsidRDefault="00000000">
            <w:pPr>
              <w:jc w:val="center"/>
            </w:pPr>
            <w:r>
              <w:rPr>
                <w:rFonts w:ascii="宋体" w:eastAsia="宋体" w:hAnsi="宋体" w:cs="宋体"/>
              </w:rPr>
              <w:t>221.8</w:t>
            </w:r>
          </w:p>
        </w:tc>
        <w:tc>
          <w:tcPr>
            <w:tcW w:w="13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425D64" w14:textId="77777777" w:rsidR="0019540F" w:rsidRDefault="00000000">
            <w:pPr>
              <w:jc w:val="center"/>
            </w:pPr>
            <w:r>
              <w:rPr>
                <w:rFonts w:ascii="宋体" w:eastAsia="宋体" w:hAnsi="宋体" w:cs="宋体"/>
              </w:rPr>
              <w:t>195.9</w:t>
            </w:r>
          </w:p>
        </w:tc>
      </w:tr>
      <w:tr w:rsidR="0019540F" w14:paraId="72C28273" w14:textId="77777777">
        <w:tblPrEx>
          <w:tblCellMar>
            <w:top w:w="0" w:type="dxa"/>
            <w:bottom w:w="0" w:type="dxa"/>
          </w:tblCellMar>
        </w:tblPrEx>
        <w:tc>
          <w:tcPr>
            <w:tcW w:w="15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BD4381" w14:textId="77777777" w:rsidR="0019540F" w:rsidRDefault="00000000">
            <w:pPr>
              <w:jc w:val="center"/>
            </w:pPr>
            <w:r>
              <w:rPr>
                <w:rFonts w:ascii="宋体" w:eastAsia="宋体" w:hAnsi="宋体" w:cs="宋体"/>
              </w:rPr>
              <w:t>比赛日收入</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D3894C" w14:textId="77777777" w:rsidR="0019540F" w:rsidRDefault="00000000">
            <w:pPr>
              <w:jc w:val="center"/>
            </w:pPr>
            <w:r>
              <w:rPr>
                <w:rFonts w:ascii="宋体" w:eastAsia="宋体" w:hAnsi="宋体" w:cs="宋体"/>
              </w:rPr>
              <w:t>7.0</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4715DA" w14:textId="77777777" w:rsidR="0019540F" w:rsidRDefault="00000000">
            <w:pPr>
              <w:jc w:val="center"/>
            </w:pPr>
            <w:r>
              <w:rPr>
                <w:rFonts w:ascii="宋体" w:eastAsia="宋体" w:hAnsi="宋体" w:cs="宋体"/>
              </w:rPr>
              <w:t>109.2</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1E461B" w14:textId="77777777" w:rsidR="0019540F" w:rsidRDefault="00000000">
            <w:pPr>
              <w:jc w:val="center"/>
            </w:pPr>
            <w:r>
              <w:rPr>
                <w:rFonts w:ascii="宋体" w:eastAsia="宋体" w:hAnsi="宋体" w:cs="宋体"/>
              </w:rPr>
              <w:t>136.4</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7441AA" w14:textId="77777777" w:rsidR="0019540F" w:rsidRDefault="00000000">
            <w:pPr>
              <w:jc w:val="center"/>
            </w:pPr>
            <w:r>
              <w:rPr>
                <w:rFonts w:ascii="宋体" w:eastAsia="宋体" w:hAnsi="宋体" w:cs="宋体"/>
              </w:rPr>
              <w:t>137.1</w:t>
            </w:r>
          </w:p>
        </w:tc>
        <w:tc>
          <w:tcPr>
            <w:tcW w:w="13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07F803" w14:textId="77777777" w:rsidR="0019540F" w:rsidRDefault="00000000">
            <w:pPr>
              <w:jc w:val="center"/>
            </w:pPr>
            <w:r>
              <w:rPr>
                <w:rFonts w:ascii="宋体" w:eastAsia="宋体" w:hAnsi="宋体" w:cs="宋体"/>
              </w:rPr>
              <w:t>137.3</w:t>
            </w:r>
          </w:p>
        </w:tc>
      </w:tr>
      <w:tr w:rsidR="0019540F" w14:paraId="5C280AA1" w14:textId="77777777">
        <w:tblPrEx>
          <w:tblCellMar>
            <w:top w:w="0" w:type="dxa"/>
            <w:bottom w:w="0" w:type="dxa"/>
          </w:tblCellMar>
        </w:tblPrEx>
        <w:tc>
          <w:tcPr>
            <w:tcW w:w="15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135D2E" w14:textId="77777777" w:rsidR="0019540F" w:rsidRDefault="00000000">
            <w:pPr>
              <w:jc w:val="center"/>
            </w:pPr>
            <w:r>
              <w:rPr>
                <w:rFonts w:ascii="宋体" w:eastAsia="宋体" w:hAnsi="宋体" w:cs="宋体"/>
                <w:b/>
                <w:bCs/>
              </w:rPr>
              <w:t>总营收</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EA7AAA" w14:textId="77777777" w:rsidR="0019540F" w:rsidRDefault="00000000">
            <w:pPr>
              <w:jc w:val="center"/>
            </w:pPr>
            <w:r>
              <w:rPr>
                <w:rFonts w:ascii="宋体" w:eastAsia="宋体" w:hAnsi="宋体" w:cs="宋体"/>
                <w:b/>
                <w:bCs/>
              </w:rPr>
              <w:t>494.1</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709423" w14:textId="77777777" w:rsidR="0019540F" w:rsidRDefault="00000000">
            <w:pPr>
              <w:jc w:val="center"/>
            </w:pPr>
            <w:r>
              <w:rPr>
                <w:rFonts w:ascii="宋体" w:eastAsia="宋体" w:hAnsi="宋体" w:cs="宋体"/>
                <w:b/>
                <w:bCs/>
              </w:rPr>
              <w:t>583.2</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EFEE64" w14:textId="77777777" w:rsidR="0019540F" w:rsidRDefault="00000000">
            <w:pPr>
              <w:jc w:val="center"/>
            </w:pPr>
            <w:r>
              <w:rPr>
                <w:rFonts w:ascii="宋体" w:eastAsia="宋体" w:hAnsi="宋体" w:cs="宋体"/>
                <w:b/>
                <w:bCs/>
              </w:rPr>
              <w:t>648.4</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99267A" w14:textId="77777777" w:rsidR="0019540F" w:rsidRDefault="00000000">
            <w:pPr>
              <w:jc w:val="center"/>
            </w:pPr>
            <w:r>
              <w:rPr>
                <w:rFonts w:ascii="宋体" w:eastAsia="宋体" w:hAnsi="宋体" w:cs="宋体"/>
                <w:b/>
                <w:bCs/>
              </w:rPr>
              <w:t>661.8</w:t>
            </w:r>
          </w:p>
        </w:tc>
        <w:tc>
          <w:tcPr>
            <w:tcW w:w="13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660058" w14:textId="77777777" w:rsidR="0019540F" w:rsidRDefault="00000000">
            <w:pPr>
              <w:jc w:val="center"/>
            </w:pPr>
            <w:r>
              <w:rPr>
                <w:rFonts w:ascii="宋体" w:eastAsia="宋体" w:hAnsi="宋体" w:cs="宋体"/>
                <w:b/>
                <w:bCs/>
              </w:rPr>
              <w:t>666.5</w:t>
            </w:r>
          </w:p>
        </w:tc>
      </w:tr>
      <w:tr w:rsidR="0019540F" w14:paraId="0C6C4A8B" w14:textId="77777777">
        <w:tblPrEx>
          <w:tblCellMar>
            <w:top w:w="0" w:type="dxa"/>
            <w:bottom w:w="0" w:type="dxa"/>
          </w:tblCellMar>
        </w:tblPrEx>
        <w:tc>
          <w:tcPr>
            <w:tcW w:w="15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2CBA74" w14:textId="77777777" w:rsidR="0019540F" w:rsidRDefault="00000000">
            <w:pPr>
              <w:jc w:val="center"/>
            </w:pPr>
            <w:r>
              <w:rPr>
                <w:rFonts w:ascii="宋体" w:eastAsia="宋体" w:hAnsi="宋体" w:cs="宋体"/>
              </w:rPr>
              <w:t>调整后EBITDA</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F9A032" w14:textId="77777777" w:rsidR="0019540F" w:rsidRDefault="00000000">
            <w:pPr>
              <w:jc w:val="center"/>
            </w:pPr>
            <w:r>
              <w:rPr>
                <w:rFonts w:ascii="宋体" w:eastAsia="宋体" w:hAnsi="宋体" w:cs="宋体"/>
              </w:rPr>
              <w:t>108.2</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8396DF" w14:textId="77777777" w:rsidR="0019540F" w:rsidRDefault="00000000">
            <w:pPr>
              <w:jc w:val="center"/>
            </w:pPr>
            <w:r>
              <w:rPr>
                <w:rFonts w:ascii="宋体" w:eastAsia="宋体" w:hAnsi="宋体" w:cs="宋体"/>
              </w:rPr>
              <w:t>121.6</w:t>
            </w:r>
          </w:p>
        </w:tc>
        <w:tc>
          <w:tcPr>
            <w:tcW w:w="1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3FDAC1" w14:textId="77777777" w:rsidR="0019540F" w:rsidRDefault="00000000">
            <w:pPr>
              <w:jc w:val="center"/>
            </w:pPr>
            <w:r>
              <w:rPr>
                <w:rFonts w:ascii="宋体" w:eastAsia="宋体" w:hAnsi="宋体" w:cs="宋体"/>
              </w:rPr>
              <w:t>130.2</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B7ED9C" w14:textId="77777777" w:rsidR="0019540F" w:rsidRDefault="00000000">
            <w:pPr>
              <w:jc w:val="center"/>
            </w:pPr>
            <w:r>
              <w:rPr>
                <w:rFonts w:ascii="宋体" w:eastAsia="宋体" w:hAnsi="宋体" w:cs="宋体"/>
              </w:rPr>
              <w:t>145.0</w:t>
            </w:r>
          </w:p>
        </w:tc>
        <w:tc>
          <w:tcPr>
            <w:tcW w:w="13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236F2A" w14:textId="77777777" w:rsidR="0019540F" w:rsidRDefault="00000000">
            <w:pPr>
              <w:jc w:val="center"/>
            </w:pPr>
            <w:r>
              <w:rPr>
                <w:rFonts w:ascii="宋体" w:eastAsia="宋体" w:hAnsi="宋体" w:cs="宋体"/>
              </w:rPr>
              <w:t>156.3</w:t>
            </w:r>
          </w:p>
        </w:tc>
      </w:tr>
    </w:tbl>
    <w:p w14:paraId="31747763" w14:textId="77777777" w:rsidR="0019540F" w:rsidRDefault="00000000">
      <w:pPr>
        <w:spacing w:before="60" w:after="80" w:line="360" w:lineRule="auto"/>
        <w:jc w:val="center"/>
      </w:pPr>
      <w:r>
        <w:rPr>
          <w:rFonts w:ascii="宋体" w:eastAsia="宋体" w:hAnsi="宋体" w:cs="宋体"/>
          <w:i/>
          <w:iCs/>
          <w:sz w:val="18"/>
          <w:szCs w:val="18"/>
        </w:rPr>
        <w:t>数据来源：</w:t>
      </w:r>
      <w:proofErr w:type="gramStart"/>
      <w:r>
        <w:rPr>
          <w:rFonts w:ascii="宋体" w:eastAsia="宋体" w:hAnsi="宋体" w:cs="宋体"/>
          <w:i/>
          <w:iCs/>
          <w:sz w:val="18"/>
          <w:szCs w:val="18"/>
        </w:rPr>
        <w:t>曼</w:t>
      </w:r>
      <w:proofErr w:type="gramEnd"/>
      <w:r>
        <w:rPr>
          <w:rFonts w:ascii="宋体" w:eastAsia="宋体" w:hAnsi="宋体" w:cs="宋体"/>
          <w:i/>
          <w:iCs/>
          <w:sz w:val="18"/>
          <w:szCs w:val="18"/>
        </w:rPr>
        <w:t>联年度报告（Form 20-F）</w:t>
      </w:r>
    </w:p>
    <w:p w14:paraId="5C14CFFA" w14:textId="77777777" w:rsidR="0019540F" w:rsidRDefault="00000000">
      <w:pPr>
        <w:spacing w:line="480" w:lineRule="auto"/>
        <w:ind w:firstLine="480"/>
        <w:jc w:val="both"/>
      </w:pPr>
      <w:r>
        <w:rPr>
          <w:rFonts w:ascii="宋体" w:eastAsia="宋体" w:hAnsi="宋体" w:cs="宋体"/>
          <w:sz w:val="24"/>
          <w:szCs w:val="24"/>
        </w:rPr>
        <w:t>从营收趋势来看，</w:t>
      </w:r>
      <w:proofErr w:type="gramStart"/>
      <w:r>
        <w:rPr>
          <w:rFonts w:ascii="宋体" w:eastAsia="宋体" w:hAnsi="宋体" w:cs="宋体"/>
          <w:sz w:val="24"/>
          <w:szCs w:val="24"/>
        </w:rPr>
        <w:t>曼</w:t>
      </w:r>
      <w:proofErr w:type="gramEnd"/>
      <w:r>
        <w:rPr>
          <w:rFonts w:ascii="宋体" w:eastAsia="宋体" w:hAnsi="宋体" w:cs="宋体"/>
          <w:sz w:val="24"/>
          <w:szCs w:val="24"/>
        </w:rPr>
        <w:t>联过去五年营收持续增长，从FY2021的4.94亿英镑增至FY2025的6.67亿英镑，五年累计增幅达34.9%。其中商业收入贡献最大，</w:t>
      </w:r>
      <w:r>
        <w:rPr>
          <w:rFonts w:ascii="宋体" w:eastAsia="宋体" w:hAnsi="宋体" w:cs="宋体"/>
          <w:sz w:val="24"/>
          <w:szCs w:val="24"/>
        </w:rPr>
        <w:lastRenderedPageBreak/>
        <w:t>占比从FY2021的47%提升至FY2025的50%，体现了</w:t>
      </w:r>
      <w:proofErr w:type="gramStart"/>
      <w:r>
        <w:rPr>
          <w:rFonts w:ascii="宋体" w:eastAsia="宋体" w:hAnsi="宋体" w:cs="宋体"/>
          <w:sz w:val="24"/>
          <w:szCs w:val="24"/>
        </w:rPr>
        <w:t>曼联去</w:t>
      </w:r>
      <w:proofErr w:type="gramEnd"/>
      <w:r>
        <w:rPr>
          <w:rFonts w:ascii="宋体" w:eastAsia="宋体" w:hAnsi="宋体" w:cs="宋体"/>
          <w:sz w:val="24"/>
          <w:szCs w:val="24"/>
        </w:rPr>
        <w:t>竞技成绩依赖、强化品牌商业化的战略转型成效。调整后EBITDA利润率从FY2021的21.9%稳步提升至FY2025的23.5%，经营质量有所改善。</w:t>
      </w:r>
    </w:p>
    <w:p w14:paraId="257BA0CF" w14:textId="77777777" w:rsidR="0019540F" w:rsidRDefault="00000000">
      <w:pPr>
        <w:spacing w:before="200" w:after="80" w:line="360" w:lineRule="auto"/>
        <w:jc w:val="center"/>
      </w:pPr>
      <w:r>
        <w:rPr>
          <w:rFonts w:ascii="宋体" w:eastAsia="宋体" w:hAnsi="宋体" w:cs="宋体"/>
          <w:b/>
          <w:bCs/>
          <w:sz w:val="22"/>
          <w:szCs w:val="22"/>
        </w:rPr>
        <w:t>表2：2024/25赛季主要竞争对手营收对比（单位：百万欧元）</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50"/>
        <w:gridCol w:w="1850"/>
        <w:gridCol w:w="1750"/>
        <w:gridCol w:w="1856"/>
      </w:tblGrid>
      <w:tr w:rsidR="0019540F" w14:paraId="49312FD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0E4F1"/>
            <w:tcMar>
              <w:top w:w="80" w:type="dxa"/>
              <w:left w:w="120" w:type="dxa"/>
              <w:bottom w:w="80" w:type="dxa"/>
              <w:right w:w="120" w:type="dxa"/>
            </w:tcMar>
            <w:vAlign w:val="center"/>
          </w:tcPr>
          <w:p w14:paraId="12D4E9C3" w14:textId="77777777" w:rsidR="0019540F" w:rsidRDefault="00000000">
            <w:pPr>
              <w:jc w:val="center"/>
            </w:pPr>
            <w:r>
              <w:rPr>
                <w:rFonts w:ascii="宋体" w:eastAsia="宋体" w:hAnsi="宋体" w:cs="宋体"/>
                <w:b/>
                <w:bCs/>
              </w:rPr>
              <w:t>俱乐部</w:t>
            </w:r>
          </w:p>
        </w:tc>
        <w:tc>
          <w:tcPr>
            <w:tcW w:w="1850" w:type="dxa"/>
            <w:tcBorders>
              <w:top w:val="single" w:sz="1" w:space="0" w:color="000000"/>
              <w:left w:val="single" w:sz="1" w:space="0" w:color="000000"/>
              <w:bottom w:val="single" w:sz="1" w:space="0" w:color="000000"/>
              <w:right w:val="single" w:sz="1" w:space="0" w:color="000000"/>
            </w:tcBorders>
            <w:shd w:val="clear" w:color="auto" w:fill="D0E4F1"/>
            <w:tcMar>
              <w:top w:w="80" w:type="dxa"/>
              <w:left w:w="120" w:type="dxa"/>
              <w:bottom w:w="80" w:type="dxa"/>
              <w:right w:w="120" w:type="dxa"/>
            </w:tcMar>
            <w:vAlign w:val="center"/>
          </w:tcPr>
          <w:p w14:paraId="0D189909" w14:textId="77777777" w:rsidR="0019540F" w:rsidRDefault="00000000">
            <w:pPr>
              <w:jc w:val="center"/>
            </w:pPr>
            <w:r>
              <w:rPr>
                <w:rFonts w:ascii="宋体" w:eastAsia="宋体" w:hAnsi="宋体" w:cs="宋体"/>
                <w:b/>
                <w:bCs/>
              </w:rPr>
              <w:t>总营收(€m)</w:t>
            </w:r>
          </w:p>
        </w:tc>
        <w:tc>
          <w:tcPr>
            <w:tcW w:w="1850" w:type="dxa"/>
            <w:tcBorders>
              <w:top w:val="single" w:sz="1" w:space="0" w:color="000000"/>
              <w:left w:val="single" w:sz="1" w:space="0" w:color="000000"/>
              <w:bottom w:val="single" w:sz="1" w:space="0" w:color="000000"/>
              <w:right w:val="single" w:sz="1" w:space="0" w:color="000000"/>
            </w:tcBorders>
            <w:shd w:val="clear" w:color="auto" w:fill="D0E4F1"/>
            <w:tcMar>
              <w:top w:w="80" w:type="dxa"/>
              <w:left w:w="120" w:type="dxa"/>
              <w:bottom w:w="80" w:type="dxa"/>
              <w:right w:w="120" w:type="dxa"/>
            </w:tcMar>
            <w:vAlign w:val="center"/>
          </w:tcPr>
          <w:p w14:paraId="03B3B4C8" w14:textId="77777777" w:rsidR="0019540F" w:rsidRDefault="00000000">
            <w:pPr>
              <w:jc w:val="center"/>
            </w:pPr>
            <w:r>
              <w:rPr>
                <w:rFonts w:ascii="宋体" w:eastAsia="宋体" w:hAnsi="宋体" w:cs="宋体"/>
                <w:b/>
                <w:bCs/>
              </w:rPr>
              <w:t>商业占比</w:t>
            </w:r>
          </w:p>
        </w:tc>
        <w:tc>
          <w:tcPr>
            <w:tcW w:w="1750" w:type="dxa"/>
            <w:tcBorders>
              <w:top w:val="single" w:sz="1" w:space="0" w:color="000000"/>
              <w:left w:val="single" w:sz="1" w:space="0" w:color="000000"/>
              <w:bottom w:val="single" w:sz="1" w:space="0" w:color="000000"/>
              <w:right w:val="single" w:sz="1" w:space="0" w:color="000000"/>
            </w:tcBorders>
            <w:shd w:val="clear" w:color="auto" w:fill="D0E4F1"/>
            <w:tcMar>
              <w:top w:w="80" w:type="dxa"/>
              <w:left w:w="120" w:type="dxa"/>
              <w:bottom w:w="80" w:type="dxa"/>
              <w:right w:w="120" w:type="dxa"/>
            </w:tcMar>
            <w:vAlign w:val="center"/>
          </w:tcPr>
          <w:p w14:paraId="202B0D36" w14:textId="77777777" w:rsidR="0019540F" w:rsidRDefault="00000000">
            <w:pPr>
              <w:jc w:val="center"/>
            </w:pPr>
            <w:r>
              <w:rPr>
                <w:rFonts w:ascii="宋体" w:eastAsia="宋体" w:hAnsi="宋体" w:cs="宋体"/>
                <w:b/>
                <w:bCs/>
              </w:rPr>
              <w:t>德勤排名</w:t>
            </w:r>
          </w:p>
        </w:tc>
        <w:tc>
          <w:tcPr>
            <w:tcW w:w="1856" w:type="dxa"/>
            <w:tcBorders>
              <w:top w:val="single" w:sz="1" w:space="0" w:color="000000"/>
              <w:left w:val="single" w:sz="1" w:space="0" w:color="000000"/>
              <w:bottom w:val="single" w:sz="1" w:space="0" w:color="000000"/>
              <w:right w:val="single" w:sz="1" w:space="0" w:color="000000"/>
            </w:tcBorders>
            <w:shd w:val="clear" w:color="auto" w:fill="D0E4F1"/>
            <w:tcMar>
              <w:top w:w="80" w:type="dxa"/>
              <w:left w:w="120" w:type="dxa"/>
              <w:bottom w:w="80" w:type="dxa"/>
              <w:right w:w="120" w:type="dxa"/>
            </w:tcMar>
            <w:vAlign w:val="center"/>
          </w:tcPr>
          <w:p w14:paraId="2EA69F12" w14:textId="77777777" w:rsidR="0019540F" w:rsidRDefault="00000000">
            <w:pPr>
              <w:jc w:val="center"/>
            </w:pPr>
            <w:proofErr w:type="gramStart"/>
            <w:r>
              <w:rPr>
                <w:rFonts w:ascii="宋体" w:eastAsia="宋体" w:hAnsi="宋体" w:cs="宋体"/>
                <w:b/>
                <w:bCs/>
              </w:rPr>
              <w:t>欧冠参赛</w:t>
            </w:r>
            <w:proofErr w:type="gramEnd"/>
          </w:p>
        </w:tc>
      </w:tr>
      <w:tr w:rsidR="0019540F" w14:paraId="70AE019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04E45A" w14:textId="77777777" w:rsidR="0019540F" w:rsidRDefault="00000000">
            <w:pPr>
              <w:jc w:val="center"/>
            </w:pPr>
            <w:r>
              <w:rPr>
                <w:rFonts w:ascii="宋体" w:eastAsia="宋体" w:hAnsi="宋体" w:cs="宋体"/>
              </w:rPr>
              <w:t>皇家马德里</w:t>
            </w:r>
          </w:p>
        </w:tc>
        <w:tc>
          <w:tcPr>
            <w:tcW w:w="1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B95910" w14:textId="77777777" w:rsidR="0019540F" w:rsidRDefault="00000000">
            <w:pPr>
              <w:jc w:val="center"/>
            </w:pPr>
            <w:r>
              <w:rPr>
                <w:rFonts w:ascii="宋体" w:eastAsia="宋体" w:hAnsi="宋体" w:cs="宋体"/>
              </w:rPr>
              <w:t>1,188</w:t>
            </w:r>
          </w:p>
        </w:tc>
        <w:tc>
          <w:tcPr>
            <w:tcW w:w="1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9AAB21" w14:textId="77777777" w:rsidR="0019540F" w:rsidRDefault="00000000">
            <w:pPr>
              <w:jc w:val="center"/>
            </w:pPr>
            <w:r>
              <w:rPr>
                <w:rFonts w:ascii="宋体" w:eastAsia="宋体" w:hAnsi="宋体" w:cs="宋体"/>
              </w:rPr>
              <w:t>50%</w:t>
            </w:r>
          </w:p>
        </w:tc>
        <w:tc>
          <w:tcPr>
            <w:tcW w:w="17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A3F59F" w14:textId="77777777" w:rsidR="0019540F" w:rsidRDefault="00000000">
            <w:pPr>
              <w:jc w:val="center"/>
            </w:pPr>
            <w:r>
              <w:rPr>
                <w:rFonts w:ascii="宋体" w:eastAsia="宋体" w:hAnsi="宋体" w:cs="宋体"/>
              </w:rPr>
              <w:t>第1</w:t>
            </w:r>
          </w:p>
        </w:tc>
        <w:tc>
          <w:tcPr>
            <w:tcW w:w="18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128610" w14:textId="77777777" w:rsidR="0019540F" w:rsidRDefault="00000000">
            <w:pPr>
              <w:jc w:val="center"/>
            </w:pPr>
            <w:r>
              <w:rPr>
                <w:rFonts w:ascii="宋体" w:eastAsia="宋体" w:hAnsi="宋体" w:cs="宋体"/>
              </w:rPr>
              <w:t>是</w:t>
            </w:r>
          </w:p>
        </w:tc>
      </w:tr>
      <w:tr w:rsidR="0019540F" w14:paraId="6D3996A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7F8EF0" w14:textId="77777777" w:rsidR="0019540F" w:rsidRDefault="00000000">
            <w:pPr>
              <w:jc w:val="center"/>
            </w:pPr>
            <w:r>
              <w:rPr>
                <w:rFonts w:ascii="宋体" w:eastAsia="宋体" w:hAnsi="宋体" w:cs="宋体"/>
              </w:rPr>
              <w:t>曼彻斯特城</w:t>
            </w:r>
          </w:p>
        </w:tc>
        <w:tc>
          <w:tcPr>
            <w:tcW w:w="1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9B76E9" w14:textId="77777777" w:rsidR="0019540F" w:rsidRDefault="00000000">
            <w:pPr>
              <w:jc w:val="center"/>
            </w:pPr>
            <w:r>
              <w:rPr>
                <w:rFonts w:ascii="宋体" w:eastAsia="宋体" w:hAnsi="宋体" w:cs="宋体"/>
              </w:rPr>
              <w:t>838</w:t>
            </w:r>
          </w:p>
        </w:tc>
        <w:tc>
          <w:tcPr>
            <w:tcW w:w="1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2DADCD" w14:textId="77777777" w:rsidR="0019540F" w:rsidRDefault="00000000">
            <w:pPr>
              <w:jc w:val="center"/>
            </w:pPr>
            <w:r>
              <w:rPr>
                <w:rFonts w:ascii="宋体" w:eastAsia="宋体" w:hAnsi="宋体" w:cs="宋体"/>
              </w:rPr>
              <w:t>44%</w:t>
            </w:r>
          </w:p>
        </w:tc>
        <w:tc>
          <w:tcPr>
            <w:tcW w:w="17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714D31" w14:textId="77777777" w:rsidR="0019540F" w:rsidRDefault="00000000">
            <w:pPr>
              <w:jc w:val="center"/>
            </w:pPr>
            <w:r>
              <w:rPr>
                <w:rFonts w:ascii="宋体" w:eastAsia="宋体" w:hAnsi="宋体" w:cs="宋体"/>
              </w:rPr>
              <w:t>第2</w:t>
            </w:r>
          </w:p>
        </w:tc>
        <w:tc>
          <w:tcPr>
            <w:tcW w:w="18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AB21BA" w14:textId="77777777" w:rsidR="0019540F" w:rsidRDefault="00000000">
            <w:pPr>
              <w:jc w:val="center"/>
            </w:pPr>
            <w:r>
              <w:rPr>
                <w:rFonts w:ascii="宋体" w:eastAsia="宋体" w:hAnsi="宋体" w:cs="宋体"/>
              </w:rPr>
              <w:t>是</w:t>
            </w:r>
          </w:p>
        </w:tc>
      </w:tr>
      <w:tr w:rsidR="0019540F" w14:paraId="5E1B95B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54E2A6" w14:textId="77777777" w:rsidR="0019540F" w:rsidRDefault="00000000">
            <w:pPr>
              <w:jc w:val="center"/>
            </w:pPr>
            <w:r>
              <w:rPr>
                <w:rFonts w:ascii="宋体" w:eastAsia="宋体" w:hAnsi="宋体" w:cs="宋体"/>
              </w:rPr>
              <w:t>利物浦</w:t>
            </w:r>
          </w:p>
        </w:tc>
        <w:tc>
          <w:tcPr>
            <w:tcW w:w="1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87E8D3" w14:textId="77777777" w:rsidR="0019540F" w:rsidRDefault="00000000">
            <w:pPr>
              <w:jc w:val="center"/>
            </w:pPr>
            <w:r>
              <w:rPr>
                <w:rFonts w:ascii="宋体" w:eastAsia="宋体" w:hAnsi="宋体" w:cs="宋体"/>
              </w:rPr>
              <w:t>817</w:t>
            </w:r>
          </w:p>
        </w:tc>
        <w:tc>
          <w:tcPr>
            <w:tcW w:w="1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FBBD6B" w14:textId="77777777" w:rsidR="0019540F" w:rsidRDefault="00000000">
            <w:pPr>
              <w:jc w:val="center"/>
            </w:pPr>
            <w:r>
              <w:rPr>
                <w:rFonts w:ascii="宋体" w:eastAsia="宋体" w:hAnsi="宋体" w:cs="宋体"/>
              </w:rPr>
              <w:t>42%</w:t>
            </w:r>
          </w:p>
        </w:tc>
        <w:tc>
          <w:tcPr>
            <w:tcW w:w="17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9E98BF" w14:textId="77777777" w:rsidR="0019540F" w:rsidRDefault="00000000">
            <w:pPr>
              <w:jc w:val="center"/>
            </w:pPr>
            <w:r>
              <w:rPr>
                <w:rFonts w:ascii="宋体" w:eastAsia="宋体" w:hAnsi="宋体" w:cs="宋体"/>
              </w:rPr>
              <w:t>第4</w:t>
            </w:r>
          </w:p>
        </w:tc>
        <w:tc>
          <w:tcPr>
            <w:tcW w:w="18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56C04A" w14:textId="77777777" w:rsidR="0019540F" w:rsidRDefault="00000000">
            <w:pPr>
              <w:jc w:val="center"/>
            </w:pPr>
            <w:r>
              <w:rPr>
                <w:rFonts w:ascii="宋体" w:eastAsia="宋体" w:hAnsi="宋体" w:cs="宋体"/>
              </w:rPr>
              <w:t>是</w:t>
            </w:r>
          </w:p>
        </w:tc>
      </w:tr>
      <w:tr w:rsidR="0019540F" w14:paraId="030F429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4CA96F" w14:textId="77777777" w:rsidR="0019540F" w:rsidRDefault="00000000">
            <w:pPr>
              <w:jc w:val="center"/>
            </w:pPr>
            <w:r>
              <w:rPr>
                <w:rFonts w:ascii="宋体" w:eastAsia="宋体" w:hAnsi="宋体" w:cs="宋体"/>
                <w:b/>
                <w:bCs/>
              </w:rPr>
              <w:t>曼彻斯特联</w:t>
            </w:r>
          </w:p>
        </w:tc>
        <w:tc>
          <w:tcPr>
            <w:tcW w:w="1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0CFA7E" w14:textId="77777777" w:rsidR="0019540F" w:rsidRDefault="00000000">
            <w:pPr>
              <w:jc w:val="center"/>
            </w:pPr>
            <w:r>
              <w:rPr>
                <w:rFonts w:ascii="宋体" w:eastAsia="宋体" w:hAnsi="宋体" w:cs="宋体"/>
                <w:b/>
                <w:bCs/>
              </w:rPr>
              <w:t>793</w:t>
            </w:r>
          </w:p>
        </w:tc>
        <w:tc>
          <w:tcPr>
            <w:tcW w:w="1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F26E37" w14:textId="77777777" w:rsidR="0019540F" w:rsidRDefault="00000000">
            <w:pPr>
              <w:jc w:val="center"/>
            </w:pPr>
            <w:r>
              <w:rPr>
                <w:rFonts w:ascii="宋体" w:eastAsia="宋体" w:hAnsi="宋体" w:cs="宋体"/>
                <w:b/>
                <w:bCs/>
              </w:rPr>
              <w:t>42%</w:t>
            </w:r>
          </w:p>
        </w:tc>
        <w:tc>
          <w:tcPr>
            <w:tcW w:w="17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7B27E6" w14:textId="77777777" w:rsidR="0019540F" w:rsidRDefault="00000000">
            <w:pPr>
              <w:jc w:val="center"/>
            </w:pPr>
            <w:r>
              <w:rPr>
                <w:rFonts w:ascii="宋体" w:eastAsia="宋体" w:hAnsi="宋体" w:cs="宋体"/>
                <w:b/>
                <w:bCs/>
              </w:rPr>
              <w:t>第8</w:t>
            </w:r>
          </w:p>
        </w:tc>
        <w:tc>
          <w:tcPr>
            <w:tcW w:w="18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B65608" w14:textId="77777777" w:rsidR="0019540F" w:rsidRDefault="00000000">
            <w:pPr>
              <w:jc w:val="center"/>
            </w:pPr>
            <w:r>
              <w:rPr>
                <w:rFonts w:ascii="宋体" w:eastAsia="宋体" w:hAnsi="宋体" w:cs="宋体"/>
                <w:b/>
                <w:bCs/>
              </w:rPr>
              <w:t>否</w:t>
            </w:r>
          </w:p>
        </w:tc>
      </w:tr>
      <w:tr w:rsidR="0019540F" w14:paraId="7E47F24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7A0127" w14:textId="77777777" w:rsidR="0019540F" w:rsidRDefault="00000000">
            <w:pPr>
              <w:jc w:val="center"/>
            </w:pPr>
            <w:r>
              <w:rPr>
                <w:rFonts w:ascii="宋体" w:eastAsia="宋体" w:hAnsi="宋体" w:cs="宋体"/>
              </w:rPr>
              <w:t>拜仁慕尼黑</w:t>
            </w:r>
          </w:p>
        </w:tc>
        <w:tc>
          <w:tcPr>
            <w:tcW w:w="1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8B29C3" w14:textId="77777777" w:rsidR="0019540F" w:rsidRDefault="00000000">
            <w:pPr>
              <w:jc w:val="center"/>
            </w:pPr>
            <w:r>
              <w:rPr>
                <w:rFonts w:ascii="宋体" w:eastAsia="宋体" w:hAnsi="宋体" w:cs="宋体"/>
              </w:rPr>
              <w:t>824</w:t>
            </w:r>
          </w:p>
        </w:tc>
        <w:tc>
          <w:tcPr>
            <w:tcW w:w="1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CDDA4E" w14:textId="77777777" w:rsidR="0019540F" w:rsidRDefault="00000000">
            <w:pPr>
              <w:jc w:val="center"/>
            </w:pPr>
            <w:r>
              <w:rPr>
                <w:rFonts w:ascii="宋体" w:eastAsia="宋体" w:hAnsi="宋体" w:cs="宋体"/>
              </w:rPr>
              <w:t>46%</w:t>
            </w:r>
          </w:p>
        </w:tc>
        <w:tc>
          <w:tcPr>
            <w:tcW w:w="17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3CD295" w14:textId="77777777" w:rsidR="0019540F" w:rsidRDefault="00000000">
            <w:pPr>
              <w:jc w:val="center"/>
            </w:pPr>
            <w:r>
              <w:rPr>
                <w:rFonts w:ascii="宋体" w:eastAsia="宋体" w:hAnsi="宋体" w:cs="宋体"/>
              </w:rPr>
              <w:t>第3</w:t>
            </w:r>
          </w:p>
        </w:tc>
        <w:tc>
          <w:tcPr>
            <w:tcW w:w="18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675581" w14:textId="77777777" w:rsidR="0019540F" w:rsidRDefault="00000000">
            <w:pPr>
              <w:jc w:val="center"/>
            </w:pPr>
            <w:r>
              <w:rPr>
                <w:rFonts w:ascii="宋体" w:eastAsia="宋体" w:hAnsi="宋体" w:cs="宋体"/>
              </w:rPr>
              <w:t>是</w:t>
            </w:r>
          </w:p>
        </w:tc>
      </w:tr>
    </w:tbl>
    <w:p w14:paraId="292590E4" w14:textId="77777777" w:rsidR="0019540F" w:rsidRDefault="00000000">
      <w:pPr>
        <w:spacing w:before="60" w:after="80" w:line="360" w:lineRule="auto"/>
        <w:jc w:val="center"/>
      </w:pPr>
      <w:r>
        <w:rPr>
          <w:rFonts w:ascii="宋体" w:eastAsia="宋体" w:hAnsi="宋体" w:cs="宋体"/>
          <w:i/>
          <w:iCs/>
          <w:sz w:val="18"/>
          <w:szCs w:val="18"/>
        </w:rPr>
        <w:t>数据来源：德</w:t>
      </w:r>
      <w:proofErr w:type="gramStart"/>
      <w:r>
        <w:rPr>
          <w:rFonts w:ascii="宋体" w:eastAsia="宋体" w:hAnsi="宋体" w:cs="宋体"/>
          <w:i/>
          <w:iCs/>
          <w:sz w:val="18"/>
          <w:szCs w:val="18"/>
        </w:rPr>
        <w:t>勤足球财富联赛</w:t>
      </w:r>
      <w:proofErr w:type="gramEnd"/>
      <w:r>
        <w:rPr>
          <w:rFonts w:ascii="宋体" w:eastAsia="宋体" w:hAnsi="宋体" w:cs="宋体"/>
          <w:i/>
          <w:iCs/>
          <w:sz w:val="18"/>
          <w:szCs w:val="18"/>
        </w:rPr>
        <w:t>2026年报告</w:t>
      </w:r>
    </w:p>
    <w:p w14:paraId="21343640" w14:textId="77777777" w:rsidR="0019540F" w:rsidRDefault="00000000">
      <w:pPr>
        <w:spacing w:line="480" w:lineRule="auto"/>
        <w:ind w:firstLine="480"/>
        <w:jc w:val="both"/>
      </w:pPr>
      <w:r>
        <w:rPr>
          <w:rFonts w:ascii="宋体" w:eastAsia="宋体" w:hAnsi="宋体" w:cs="宋体"/>
          <w:sz w:val="24"/>
          <w:szCs w:val="24"/>
        </w:rPr>
        <w:t>通过与同行对标，</w:t>
      </w:r>
      <w:proofErr w:type="gramStart"/>
      <w:r>
        <w:rPr>
          <w:rFonts w:ascii="宋体" w:eastAsia="宋体" w:hAnsi="宋体" w:cs="宋体"/>
          <w:sz w:val="24"/>
          <w:szCs w:val="24"/>
        </w:rPr>
        <w:t>曼联存在</w:t>
      </w:r>
      <w:proofErr w:type="gramEnd"/>
      <w:r>
        <w:rPr>
          <w:rFonts w:ascii="宋体" w:eastAsia="宋体" w:hAnsi="宋体" w:cs="宋体"/>
          <w:sz w:val="24"/>
          <w:szCs w:val="24"/>
        </w:rPr>
        <w:t>以下几个显著特征：第一，营收排名历史性跌至第8位，在</w:t>
      </w:r>
      <w:proofErr w:type="gramStart"/>
      <w:r>
        <w:rPr>
          <w:rFonts w:ascii="宋体" w:eastAsia="宋体" w:hAnsi="宋体" w:cs="宋体"/>
          <w:sz w:val="24"/>
          <w:szCs w:val="24"/>
        </w:rPr>
        <w:t>曼</w:t>
      </w:r>
      <w:proofErr w:type="gramEnd"/>
      <w:r>
        <w:rPr>
          <w:rFonts w:ascii="宋体" w:eastAsia="宋体" w:hAnsi="宋体" w:cs="宋体"/>
          <w:sz w:val="24"/>
          <w:szCs w:val="24"/>
        </w:rPr>
        <w:t>联91年的参与历史中为最低排名，核心原因是欧洲赛场缺席导致转播收入及奖金收入大幅减少；第二，商业收入绝对额在英超球队中依然位于前列，体现了品牌全球化的长期积累；第三，与竞争对手相比，老特拉福德球场的比赛日收入上升空间受到球场硬件限制，新球场建设是提升匹配日收入的根本出路；第四，薪酬与营收比（Wage-to-Revenue Ratio）约为53%，在行业中处于偏高水平，成本</w:t>
      </w:r>
      <w:proofErr w:type="gramStart"/>
      <w:r>
        <w:rPr>
          <w:rFonts w:ascii="宋体" w:eastAsia="宋体" w:hAnsi="宋体" w:cs="宋体"/>
          <w:sz w:val="24"/>
          <w:szCs w:val="24"/>
        </w:rPr>
        <w:t>管控是管理</w:t>
      </w:r>
      <w:proofErr w:type="gramEnd"/>
      <w:r>
        <w:rPr>
          <w:rFonts w:ascii="宋体" w:eastAsia="宋体" w:hAnsi="宋体" w:cs="宋体"/>
          <w:sz w:val="24"/>
          <w:szCs w:val="24"/>
        </w:rPr>
        <w:t>层2024–2026转型计划的核心任务。</w:t>
      </w:r>
    </w:p>
    <w:p w14:paraId="6B11EA4C" w14:textId="77777777" w:rsidR="0019540F" w:rsidRDefault="00000000">
      <w:pPr>
        <w:spacing w:line="480" w:lineRule="auto"/>
        <w:ind w:firstLine="480"/>
        <w:jc w:val="both"/>
      </w:pPr>
      <w:r>
        <w:rPr>
          <w:rFonts w:ascii="宋体" w:eastAsia="宋体" w:hAnsi="宋体" w:cs="宋体"/>
          <w:sz w:val="24"/>
          <w:szCs w:val="24"/>
        </w:rPr>
        <w:t>综合而言，</w:t>
      </w:r>
      <w:proofErr w:type="gramStart"/>
      <w:r>
        <w:rPr>
          <w:rFonts w:ascii="宋体" w:eastAsia="宋体" w:hAnsi="宋体" w:cs="宋体"/>
          <w:sz w:val="24"/>
          <w:szCs w:val="24"/>
        </w:rPr>
        <w:t>曼联处于</w:t>
      </w:r>
      <w:proofErr w:type="gramEnd"/>
      <w:r>
        <w:rPr>
          <w:rFonts w:ascii="宋体" w:eastAsia="宋体" w:hAnsi="宋体" w:cs="宋体"/>
          <w:sz w:val="24"/>
          <w:szCs w:val="24"/>
        </w:rPr>
        <w:t>品牌商业化优势突出、竞技成绩与财务表现有待重建的关键转型期。管理层已制定明确的降本增效路线图，预计2025/26赛季可实现成本节约4,500万英镑；长期看，球场重建与重返</w:t>
      </w:r>
      <w:proofErr w:type="gramStart"/>
      <w:r>
        <w:rPr>
          <w:rFonts w:ascii="宋体" w:eastAsia="宋体" w:hAnsi="宋体" w:cs="宋体"/>
          <w:sz w:val="24"/>
          <w:szCs w:val="24"/>
        </w:rPr>
        <w:t>欧冠将</w:t>
      </w:r>
      <w:proofErr w:type="gramEnd"/>
      <w:r>
        <w:rPr>
          <w:rFonts w:ascii="宋体" w:eastAsia="宋体" w:hAnsi="宋体" w:cs="宋体"/>
          <w:sz w:val="24"/>
          <w:szCs w:val="24"/>
        </w:rPr>
        <w:t>是营收增长的两大核心催化剂。</w:t>
      </w:r>
    </w:p>
    <w:p w14:paraId="29565687" w14:textId="77777777" w:rsidR="0019540F" w:rsidRDefault="0019540F">
      <w:pPr>
        <w:spacing w:line="480" w:lineRule="auto"/>
      </w:pPr>
    </w:p>
    <w:p w14:paraId="704248B0" w14:textId="77777777" w:rsidR="0019540F" w:rsidRDefault="00000000">
      <w:pPr>
        <w:spacing w:before="200" w:after="100" w:line="480" w:lineRule="auto"/>
      </w:pPr>
      <w:r>
        <w:rPr>
          <w:rFonts w:ascii="宋体" w:eastAsia="宋体" w:hAnsi="宋体" w:cs="宋体"/>
          <w:b/>
          <w:bCs/>
          <w:sz w:val="30"/>
          <w:szCs w:val="30"/>
        </w:rPr>
        <w:lastRenderedPageBreak/>
        <w:t>三、报告规范性声明</w:t>
      </w:r>
    </w:p>
    <w:p w14:paraId="39EB8B5D" w14:textId="77777777" w:rsidR="0019540F" w:rsidRDefault="00000000">
      <w:pPr>
        <w:spacing w:line="480" w:lineRule="auto"/>
        <w:ind w:firstLine="480"/>
        <w:jc w:val="both"/>
      </w:pPr>
      <w:r>
        <w:rPr>
          <w:rFonts w:ascii="宋体" w:eastAsia="宋体" w:hAnsi="宋体" w:cs="宋体"/>
          <w:sz w:val="24"/>
          <w:szCs w:val="24"/>
        </w:rPr>
        <w:t>本报告依据广州应用科技学院《审计案例分析》课程考核要求撰写，以曼彻斯特联足球俱乐部（NYSE: MANU）为案例公司，结合其FY2021至FY2025年度报告（Form 20-F）及德</w:t>
      </w:r>
      <w:proofErr w:type="gramStart"/>
      <w:r>
        <w:rPr>
          <w:rFonts w:ascii="宋体" w:eastAsia="宋体" w:hAnsi="宋体" w:cs="宋体"/>
          <w:sz w:val="24"/>
          <w:szCs w:val="24"/>
        </w:rPr>
        <w:t>勤足球财富联赛</w:t>
      </w:r>
      <w:proofErr w:type="gramEnd"/>
      <w:r>
        <w:rPr>
          <w:rFonts w:ascii="宋体" w:eastAsia="宋体" w:hAnsi="宋体" w:cs="宋体"/>
          <w:sz w:val="24"/>
          <w:szCs w:val="24"/>
        </w:rPr>
        <w:t>系列报告等权威数据来源，围绕行业背景、供需竞争、季节性特征、技术发展、能源成本及关键绩效指标五大维</w:t>
      </w:r>
      <w:proofErr w:type="gramStart"/>
      <w:r>
        <w:rPr>
          <w:rFonts w:ascii="宋体" w:eastAsia="宋体" w:hAnsi="宋体" w:cs="宋体"/>
          <w:sz w:val="24"/>
          <w:szCs w:val="24"/>
        </w:rPr>
        <w:t>度展开</w:t>
      </w:r>
      <w:proofErr w:type="gramEnd"/>
      <w:r>
        <w:rPr>
          <w:rFonts w:ascii="宋体" w:eastAsia="宋体" w:hAnsi="宋体" w:cs="宋体"/>
          <w:sz w:val="24"/>
          <w:szCs w:val="24"/>
        </w:rPr>
        <w:t>分析，内容完整、逻辑清晰、数据翔实。报告正文字数超过3000字，符合不少于2000字的基本要求。</w:t>
      </w:r>
    </w:p>
    <w:p w14:paraId="1C4E3957" w14:textId="77777777" w:rsidR="0019540F" w:rsidRDefault="00000000">
      <w:pPr>
        <w:spacing w:line="480" w:lineRule="auto"/>
        <w:ind w:firstLine="480"/>
        <w:jc w:val="both"/>
      </w:pPr>
      <w:r>
        <w:rPr>
          <w:rFonts w:ascii="宋体" w:eastAsia="宋体" w:hAnsi="宋体" w:cs="宋体"/>
          <w:sz w:val="24"/>
          <w:szCs w:val="24"/>
        </w:rPr>
        <w:t>本报告的分析结论具有以下创新性视角：其一，将</w:t>
      </w:r>
      <w:proofErr w:type="gramStart"/>
      <w:r>
        <w:rPr>
          <w:rFonts w:ascii="宋体" w:eastAsia="宋体" w:hAnsi="宋体" w:cs="宋体"/>
          <w:sz w:val="24"/>
          <w:szCs w:val="24"/>
        </w:rPr>
        <w:t>曼</w:t>
      </w:r>
      <w:proofErr w:type="gramEnd"/>
      <w:r>
        <w:rPr>
          <w:rFonts w:ascii="宋体" w:eastAsia="宋体" w:hAnsi="宋体" w:cs="宋体"/>
          <w:sz w:val="24"/>
          <w:szCs w:val="24"/>
        </w:rPr>
        <w:t>联的竞技成绩与三大收入板块的动态联动关系进行了系统性量化梳理，揭示了竞技成绩下滑对转播收入的传导机制；其二，将球场重建投资（预计超过20亿英镑）纳入行业技术分析框架，界定为影响</w:t>
      </w:r>
      <w:proofErr w:type="gramStart"/>
      <w:r>
        <w:rPr>
          <w:rFonts w:ascii="宋体" w:eastAsia="宋体" w:hAnsi="宋体" w:cs="宋体"/>
          <w:sz w:val="24"/>
          <w:szCs w:val="24"/>
        </w:rPr>
        <w:t>曼联未来</w:t>
      </w:r>
      <w:proofErr w:type="gramEnd"/>
      <w:r>
        <w:rPr>
          <w:rFonts w:ascii="宋体" w:eastAsia="宋体" w:hAnsi="宋体" w:cs="宋体"/>
          <w:sz w:val="24"/>
          <w:szCs w:val="24"/>
        </w:rPr>
        <w:t>10年比赛日收入竞争力的决定性资本项目；其三，通过德勤Money League排名的历史变迁（从历史高位第1至当前第8），客观评估了</w:t>
      </w:r>
      <w:proofErr w:type="gramStart"/>
      <w:r>
        <w:rPr>
          <w:rFonts w:ascii="宋体" w:eastAsia="宋体" w:hAnsi="宋体" w:cs="宋体"/>
          <w:sz w:val="24"/>
          <w:szCs w:val="24"/>
        </w:rPr>
        <w:t>曼联品牌</w:t>
      </w:r>
      <w:proofErr w:type="gramEnd"/>
      <w:r>
        <w:rPr>
          <w:rFonts w:ascii="宋体" w:eastAsia="宋体" w:hAnsi="宋体" w:cs="宋体"/>
          <w:sz w:val="24"/>
          <w:szCs w:val="24"/>
        </w:rPr>
        <w:t>溢价与竞技表现脱钩的结构性矛盾，为后续投资者风险评估提供了多维参考。</w:t>
      </w:r>
    </w:p>
    <w:p w14:paraId="7FFA8E2D" w14:textId="77777777" w:rsidR="0019540F" w:rsidRDefault="0019540F">
      <w:pPr>
        <w:spacing w:line="480" w:lineRule="auto"/>
      </w:pPr>
    </w:p>
    <w:p w14:paraId="4A2D50CE" w14:textId="77777777" w:rsidR="0019540F" w:rsidRDefault="00000000">
      <w:pPr>
        <w:spacing w:before="200" w:after="100" w:line="480" w:lineRule="auto"/>
      </w:pPr>
      <w:r>
        <w:rPr>
          <w:rFonts w:ascii="宋体" w:eastAsia="宋体" w:hAnsi="宋体" w:cs="宋体"/>
          <w:b/>
          <w:bCs/>
          <w:sz w:val="30"/>
          <w:szCs w:val="30"/>
        </w:rPr>
        <w:t>参考资料</w:t>
      </w:r>
    </w:p>
    <w:p w14:paraId="4781BD70" w14:textId="77777777" w:rsidR="0019540F" w:rsidRDefault="00000000">
      <w:pPr>
        <w:spacing w:line="480" w:lineRule="auto"/>
        <w:ind w:firstLine="480"/>
        <w:jc w:val="both"/>
      </w:pPr>
      <w:r>
        <w:rPr>
          <w:rFonts w:ascii="宋体" w:eastAsia="宋体" w:hAnsi="宋体" w:cs="宋体"/>
          <w:sz w:val="24"/>
          <w:szCs w:val="24"/>
        </w:rPr>
        <w:t>1. Manchester United PLC. Annual Report on Form 20-F for Fiscal Year Ended 30 June 2025. SEC EDGAR, 2025.</w:t>
      </w:r>
    </w:p>
    <w:p w14:paraId="574D39EB" w14:textId="77777777" w:rsidR="0019540F" w:rsidRDefault="00000000">
      <w:pPr>
        <w:spacing w:line="480" w:lineRule="auto"/>
        <w:ind w:firstLine="480"/>
        <w:jc w:val="both"/>
      </w:pPr>
      <w:r>
        <w:rPr>
          <w:rFonts w:ascii="宋体" w:eastAsia="宋体" w:hAnsi="宋体" w:cs="宋体"/>
          <w:sz w:val="24"/>
          <w:szCs w:val="24"/>
        </w:rPr>
        <w:t>2. Deloitte. Football Money League 2026. Deloitte Sports Business Group, January 2026.</w:t>
      </w:r>
    </w:p>
    <w:p w14:paraId="48B3CA1B" w14:textId="77777777" w:rsidR="0019540F" w:rsidRDefault="00000000">
      <w:pPr>
        <w:spacing w:line="480" w:lineRule="auto"/>
        <w:ind w:firstLine="480"/>
        <w:jc w:val="both"/>
      </w:pPr>
      <w:r>
        <w:rPr>
          <w:rFonts w:ascii="宋体" w:eastAsia="宋体" w:hAnsi="宋体" w:cs="宋体"/>
          <w:sz w:val="24"/>
          <w:szCs w:val="24"/>
        </w:rPr>
        <w:lastRenderedPageBreak/>
        <w:t>3. Deloitte. Annual Review of Football Finance 2025: Premier League Clubs. Deloitte UK, 2025.</w:t>
      </w:r>
    </w:p>
    <w:p w14:paraId="345D5091" w14:textId="77777777" w:rsidR="0019540F" w:rsidRDefault="00000000">
      <w:pPr>
        <w:spacing w:line="480" w:lineRule="auto"/>
        <w:ind w:firstLine="480"/>
        <w:jc w:val="both"/>
      </w:pPr>
      <w:r>
        <w:rPr>
          <w:rFonts w:ascii="宋体" w:eastAsia="宋体" w:hAnsi="宋体" w:cs="宋体"/>
          <w:sz w:val="24"/>
          <w:szCs w:val="24"/>
        </w:rPr>
        <w:t>4. Matchday Finance. "Premier League Revenues Increase by 6.8%." Matchday Finance Report, January 2026.</w:t>
      </w:r>
    </w:p>
    <w:p w14:paraId="7AE88D95" w14:textId="77777777" w:rsidR="0019540F" w:rsidRDefault="00000000">
      <w:pPr>
        <w:spacing w:line="480" w:lineRule="auto"/>
        <w:ind w:firstLine="480"/>
        <w:jc w:val="both"/>
      </w:pPr>
      <w:r>
        <w:rPr>
          <w:rFonts w:ascii="宋体" w:eastAsia="宋体" w:hAnsi="宋体" w:cs="宋体"/>
          <w:sz w:val="24"/>
          <w:szCs w:val="24"/>
        </w:rPr>
        <w:t>5. Manchester United Investor Relations. Q2 FY2025 Earnings Release. ir.manutd.com, February 2025.</w:t>
      </w:r>
    </w:p>
    <w:p w14:paraId="468C9533" w14:textId="77777777" w:rsidR="0019540F" w:rsidRDefault="00000000">
      <w:pPr>
        <w:spacing w:line="480" w:lineRule="auto"/>
        <w:ind w:firstLine="480"/>
        <w:jc w:val="both"/>
      </w:pPr>
      <w:r>
        <w:rPr>
          <w:rFonts w:ascii="宋体" w:eastAsia="宋体" w:hAnsi="宋体" w:cs="宋体"/>
          <w:sz w:val="24"/>
          <w:szCs w:val="24"/>
        </w:rPr>
        <w:t>6. Statista. Global Sports Industry Revenue Forecast 2020–2030. Statista Research Department, 2025.</w:t>
      </w:r>
    </w:p>
    <w:sectPr w:rsidR="0019540F">
      <w:pgSz w:w="11906" w:h="16838"/>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81B6B"/>
    <w:multiLevelType w:val="hybridMultilevel"/>
    <w:tmpl w:val="24D0CCCE"/>
    <w:lvl w:ilvl="0" w:tplc="A46AE72A">
      <w:start w:val="1"/>
      <w:numFmt w:val="bullet"/>
      <w:lvlText w:val="●"/>
      <w:lvlJc w:val="left"/>
      <w:pPr>
        <w:ind w:left="720" w:hanging="360"/>
      </w:pPr>
    </w:lvl>
    <w:lvl w:ilvl="1" w:tplc="DE3057BE">
      <w:start w:val="1"/>
      <w:numFmt w:val="bullet"/>
      <w:lvlText w:val="○"/>
      <w:lvlJc w:val="left"/>
      <w:pPr>
        <w:ind w:left="1440" w:hanging="360"/>
      </w:pPr>
    </w:lvl>
    <w:lvl w:ilvl="2" w:tplc="9BF6C3CA">
      <w:start w:val="1"/>
      <w:numFmt w:val="bullet"/>
      <w:lvlText w:val="■"/>
      <w:lvlJc w:val="left"/>
      <w:pPr>
        <w:ind w:left="2160" w:hanging="360"/>
      </w:pPr>
    </w:lvl>
    <w:lvl w:ilvl="3" w:tplc="A89AA4A8">
      <w:start w:val="1"/>
      <w:numFmt w:val="bullet"/>
      <w:lvlText w:val="●"/>
      <w:lvlJc w:val="left"/>
      <w:pPr>
        <w:ind w:left="2880" w:hanging="360"/>
      </w:pPr>
    </w:lvl>
    <w:lvl w:ilvl="4" w:tplc="5F5226EA">
      <w:start w:val="1"/>
      <w:numFmt w:val="bullet"/>
      <w:lvlText w:val="○"/>
      <w:lvlJc w:val="left"/>
      <w:pPr>
        <w:ind w:left="3600" w:hanging="360"/>
      </w:pPr>
    </w:lvl>
    <w:lvl w:ilvl="5" w:tplc="5C5E0A5E">
      <w:start w:val="1"/>
      <w:numFmt w:val="bullet"/>
      <w:lvlText w:val="■"/>
      <w:lvlJc w:val="left"/>
      <w:pPr>
        <w:ind w:left="4320" w:hanging="360"/>
      </w:pPr>
    </w:lvl>
    <w:lvl w:ilvl="6" w:tplc="24E4B3FA">
      <w:start w:val="1"/>
      <w:numFmt w:val="bullet"/>
      <w:lvlText w:val="●"/>
      <w:lvlJc w:val="left"/>
      <w:pPr>
        <w:ind w:left="5040" w:hanging="360"/>
      </w:pPr>
    </w:lvl>
    <w:lvl w:ilvl="7" w:tplc="0708FA9A">
      <w:start w:val="1"/>
      <w:numFmt w:val="bullet"/>
      <w:lvlText w:val="●"/>
      <w:lvlJc w:val="left"/>
      <w:pPr>
        <w:ind w:left="5760" w:hanging="360"/>
      </w:pPr>
    </w:lvl>
    <w:lvl w:ilvl="8" w:tplc="94F87306">
      <w:start w:val="1"/>
      <w:numFmt w:val="bullet"/>
      <w:lvlText w:val="●"/>
      <w:lvlJc w:val="left"/>
      <w:pPr>
        <w:ind w:left="6480" w:hanging="360"/>
      </w:pPr>
    </w:lvl>
  </w:abstractNum>
  <w:num w:numId="1" w16cid:durableId="530649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40F"/>
    <w:rsid w:val="0019540F"/>
    <w:rsid w:val="00CA17BA"/>
    <w:rsid w:val="00CA2E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CA9DF"/>
  <w15:docId w15:val="{E8894175-1604-4D3F-AF66-DB264652E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2778</Words>
  <Characters>3530</Characters>
  <Application>Microsoft Office Word</Application>
  <DocSecurity>0</DocSecurity>
  <Lines>147</Lines>
  <Paragraphs>126</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 dwd</cp:lastModifiedBy>
  <cp:revision>3</cp:revision>
  <dcterms:created xsi:type="dcterms:W3CDTF">2026-06-10T04:33:00Z</dcterms:created>
  <dcterms:modified xsi:type="dcterms:W3CDTF">2026-06-10T04:41:00Z</dcterms:modified>
</cp:coreProperties>
</file>