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F766E"/>
          <w:sz w:val="28"/>
          <w:szCs w:val="28"/>
        </w:rPr>
        <w:t xml:space="preserve">UNIVERSIDAD PRIVADA</w:t>
      </w:r>
    </w:p>
    <w:p>
      <w:pPr>
        <w:spacing w:after="300"/>
        <w:jc w:val="center"/>
      </w:pPr>
      <w:r>
        <w:rPr>
          <w:b/>
          <w:bCs/>
          <w:color w:val="334155"/>
          <w:sz w:val="22"/>
          <w:szCs w:val="22"/>
        </w:rPr>
        <w:t xml:space="preserve">FACULTAD DE INGENIERÍA DE SISTEMAS / INFORMÁTICA</w:t>
      </w:r>
    </w:p>
    <w:p>
      <w:pPr>
        <w:spacing w:after="100"/>
        <w:jc w:val="center"/>
      </w:pPr>
      <w:r>
        <w:rPr>
          <w:b/>
          <w:bCs/>
          <w:color w:val="0284C7"/>
          <w:sz w:val="22"/>
          <w:szCs w:val="22"/>
        </w:rPr>
        <w:t xml:space="preserve">ASIGNATURA: PROGRAMACIÓN WEB II</w:t>
      </w:r>
    </w:p>
    <w:p>
      <w:pPr>
        <w:spacing w:after="300" w:before="400"/>
        <w:jc w:val="center"/>
      </w:pPr>
      <w:r>
        <w:rPr>
          <w:b/>
          <w:bCs/>
          <w:color w:val="0F172A"/>
          <w:sz w:val="36"/>
          <w:szCs w:val="36"/>
        </w:rPr>
        <w:t xml:space="preserve">PROYECTO FINAL DE GRADO</w:t>
      </w:r>
    </w:p>
    <w:p>
      <w:pPr>
        <w:spacing w:after="300"/>
        <w:jc w:val="center"/>
      </w:pPr>
      <w:r>
        <w:rPr>
          <w:b/>
          <w:bCs/>
          <w:color w:val="0F766E"/>
          <w:sz w:val="30"/>
          <w:szCs w:val="30"/>
        </w:rPr>
        <w:t xml:space="preserve">SISTEMA WEB INTEGRAL DE GESTIÓN E INVENTARIO PARA FARMACIA
"FARMACONTROL PRO"</w:t>
      </w:r>
    </w:p>
    <w:p>
      <w:pPr>
        <w:spacing w:after="600"/>
        <w:jc w:val="center"/>
      </w:pPr>
      <w:r>
        <w:rPr>
          <w:i/>
          <w:iCs/>
          <w:color w:val="64748B"/>
          <w:sz w:val="22"/>
          <w:szCs w:val="22"/>
        </w:rPr>
        <w:t xml:space="preserve">Manejo Inteligente de Lotes (FEFO), Venta Fraccionada, Recetas Controladas, Arqueo de Caja y Auditoría Kardex</w:t>
      </w:r>
    </w:p>
    <w:p>
      <w:pPr>
        <w:spacing w:after="600" w:before="400"/>
        <w:jc w:val="center"/>
      </w:pPr>
      <w:r>
        <w:rPr>
          <w:b/>
          <w:bCs/>
          <w:color w:val="334155"/>
          <w:sz w:val="20"/>
          <w:szCs w:val="20"/>
        </w:rPr>
        <w:t xml:space="preserve">Docente Guía: Docente de Programación Web II
</w:t>
      </w:r>
      <w:r>
        <w:rPr>
          <w:color w:val="64748B"/>
          <w:sz w:val="20"/>
          <w:szCs w:val="20"/>
        </w:rPr>
        <w:t xml:space="preserve">Año Académico: 2026</w:t>
      </w:r>
    </w:p>
    <w:p>
      <w:pPr>
        <w:pStyle w:val="Heading1"/>
        <w:spacing w:after="200" w:before="500"/>
      </w:pPr>
      <w:r>
        <w:t xml:space="preserve">INTRODUCCIÓN</w:t>
      </w:r>
    </w:p>
    <w:p>
      <w:pPr>
        <w:spacing w:after="200" w:line="360"/>
      </w:pPr>
      <w:r>
        <w:t xml:space="preserve">En el sector farmacéutico moderno, la gestión operativa y el control de inventarios trascienden la simple administración de mercadería comercial: constituyen un componente crítico de salud pública, farmacovigilancia y rentabilidad empresarial. La custodia y dispensación de medicamentos exige un control riguroso de fechas de expiración, trazabilidad de lotes de importación o laboratorio, archivo digital de recetas médicas archivadas para medicamentos controlados (psicotrópicos y antibióticos), venta fraccionada (pastillas individuales vs. cajas completas) y un cuadre matemático exacto de los turnos de caja en efectivo y canales electrónicos.</w:t>
      </w:r>
    </w:p>
    <w:p>
      <w:pPr>
        <w:spacing w:after="300" w:line="360"/>
      </w:pPr>
      <w:r>
        <w:t xml:space="preserve">El presente proyecto de desarrollo tecnológico implementa "FarmaControl Pro", una plataforma web empresarial diseñada bajo un modelo de arquitectura de software desacoplada, utilizando PostgreSQL 17 como motor relacional con soporte transaccional ACID, Node.js y TypeScript en el backend para la lógica de negocio y seguridad con tokens JWT, y Angular 17+ con Tailwind CSS en el frontend para una experiencia de usuario reactiva, fluida y 100% responsiva. La solución integra el despacho logístico FEFO (First Expired, First Out), generación de comprobantes térmicos en PDF con código QR, exportación masiva a hojas de cálculo Excel y un panel de inteligencia de negocios con gráficos interactivos en tiempo real.</w:t>
      </w:r>
    </w:p>
    <w:p>
      <w:pPr>
        <w:pStyle w:val="Heading1"/>
        <w:spacing w:after="200" w:before="500"/>
      </w:pPr>
      <w:r>
        <w:t xml:space="preserve">CAPÍTULO I: PLANTEAMIENTO DEL PROBLEMA Y OBJETIVOS</w:t>
      </w:r>
    </w:p>
    <w:p>
      <w:pPr>
        <w:pStyle w:val="Heading2"/>
        <w:spacing w:after="120" w:before="200"/>
      </w:pPr>
      <w:r>
        <w:t xml:space="preserve">1.1. Planteamiento del Problema</w:t>
      </w:r>
    </w:p>
    <w:p>
      <w:pPr>
        <w:spacing w:after="200" w:line="360"/>
      </w:pPr>
      <w:r>
        <w:t xml:space="preserve">Actualmente, numerosas farmacias y boticas gestionan sus operaciones cotidianas de manera manual o a través de herramientas de ofimática aisladas. Este paradigma operativo presenta deficiencias críticas:</w:t>
      </w:r>
    </w:p>
    <w:p>
      <w:pPr>
        <w:spacing w:after="120" w:line="320"/>
      </w:pPr>
      <w:r>
        <w:rPr>
          <w:b/>
          <w:bCs/>
        </w:rPr>
        <w:t xml:space="preserve">a) Mermas por vencimiento de medicamentos: </w:t>
      </w:r>
      <w:r>
        <w:t xml:space="preserve">Los productos que ingresan recientemente son despachados antes que los productos más antiguos, ocasionando que los lotes con caducidad cercana queden rezagados al fondo de las estanterías y deban desecharse con la consiguiente pérdida económica.
</w:t>
      </w:r>
      <w:r>
        <w:rPr>
          <w:b/>
          <w:bCs/>
        </w:rPr>
        <w:t xml:space="preserve">b) Inconsistencia en venta fraccionada: </w:t>
      </w:r>
      <w:r>
        <w:t xml:space="preserve">Al abrir una caja para vender blisters o tabletas sueltas, los inventarios convencionales descuentan cajas enteras o duplican registros, generando desfasajes permanentes entre el stock físico y el lógico.
</w:t>
      </w:r>
      <w:r>
        <w:rPr>
          <w:b/>
          <w:bCs/>
        </w:rPr>
        <w:t xml:space="preserve">c) Ausencia de trazabilidad en recetas retenidas: </w:t>
      </w:r>
      <w:r>
        <w:t xml:space="preserve">La venta de fármacos controlados se anota en cuadernos físicos, vulnerando normativas de salud y dificultando auditorías sanitarias.
</w:t>
      </w:r>
      <w:r>
        <w:rPr>
          <w:b/>
          <w:bCs/>
        </w:rPr>
        <w:t xml:space="preserve">d) Descuadres de caja y falta de conciliación: </w:t>
      </w:r>
      <w:r>
        <w:t xml:space="preserve">La rotación de cajeros por turnos sin un proceso de arqueo ciego provoca discrepancias entre el efectivo recaudado y los montos reportados en ventas.</w:t>
      </w:r>
    </w:p>
    <w:p>
      <w:pPr>
        <w:pStyle w:val="Heading2"/>
        <w:spacing w:after="120" w:before="300"/>
      </w:pPr>
      <w:r>
        <w:t xml:space="preserve">1.2. Problema Principal</w:t>
      </w:r>
    </w:p>
    <w:p>
      <w:pPr>
        <w:spacing w:after="200" w:line="360"/>
      </w:pPr>
      <w:r>
        <w:rPr>
          <w:b/>
          <w:bCs/>
          <w:i/>
          <w:iCs/>
          <w:color w:val="0F766E"/>
        </w:rPr>
        <w:t xml:space="preserve">¿De qué manera el diseño e implementación de un sistema web integral basado en arquitectura Fullstack TypeScript (PostgreSQL 17, Node.js y Angular 17) con gestión logística FEFO, venta fraccionada, registro de recetas retenidas y arqueo de caja optimiza la eficiencia operativa, minimiza las pérdidas por mermas y garantiza la trazabilidad en una farmacia?</w:t>
      </w:r>
    </w:p>
    <w:p>
      <w:pPr>
        <w:pStyle w:val="Heading2"/>
        <w:spacing w:after="120" w:before="300"/>
      </w:pPr>
      <w:r>
        <w:t xml:space="preserve">1.3. Objetivos del Proyecto</w:t>
      </w:r>
    </w:p>
    <w:p>
      <w:pPr>
        <w:pStyle w:val="Heading3"/>
        <w:spacing w:after="80" w:before="150"/>
      </w:pPr>
      <w:r>
        <w:t xml:space="preserve">1.3.1. Objetivo General</w:t>
      </w:r>
    </w:p>
    <w:p>
      <w:pPr>
        <w:spacing w:after="180" w:line="360"/>
      </w:pPr>
      <w:r>
        <w:t xml:space="preserve">Desarrollar e implementar un sistema web transaccional y responsivo de gestión e inventario farmacéutico basado en un modelo de base de datos relacional de 14 tablas, con control de lotes bajo el principio FEFO, facturación en Punto de Venta (POS) con código de barras y ticket térmico PDF, auditoría Kardex, bajas por merma, archivo de recetas médicas y conciliación de caja por turnos.</w:t>
      </w:r>
    </w:p>
    <w:p>
      <w:pPr>
        <w:pStyle w:val="Heading3"/>
        <w:spacing w:after="80" w:before="150"/>
      </w:pPr>
      <w:r>
        <w:t xml:space="preserve">1.3.2. Objetivos Específicos</w:t>
      </w:r>
    </w:p>
    <w:p>
      <w:pPr>
        <w:spacing w:after="200" w:line="320"/>
      </w:pPr>
      <w:r>
        <w:t xml:space="preserve">1. Diseñar el esquema de base de datos relacional en PostgreSQL 17 con 14 entidades normalizadas, llaves foráneas, checks de validación, triggers automáticos y vistas analíticas de caducidad (&lt;30 y &lt;60 días).
</w:t>
      </w:r>
      <w:r>
        <w:t xml:space="preserve">2. Construir una API RESTful modular y escalable en Node.js con TypeScript, dotada de autenticación con JSON Web Tokens (JWT), encriptación bcrypt y aislamiento transaccional ACID en ventas y compras.
</w:t>
      </w:r>
      <w:r>
        <w:t xml:space="preserve">3. Desarrollar una interfaz de usuario moderna en Angular 17+ con componentes Standalone y Tailwind CSS, implementando un POS con captura de scanner de código de barras, sonidos de confirmación con Web Audio API y diseño responsivo adaptativo.
</w:t>
      </w:r>
      <w:r>
        <w:t xml:space="preserve">4. Implementar un motor de reportes con descarga directa de comprobantes de venta en formato PDF térmico de 80mm y exportación de inventario general y movimientos de Kardex a hojas de cálculo Excel (.xlsx).
</w:t>
      </w:r>
      <w:r>
        <w:t xml:space="preserve">5. Implementar un módulo de bioequivalencia farmacéutica para sugerir automáticamente alternativas genéricas ante desabastecimiento de medicamentos de marca comercial.</w:t>
      </w:r>
    </w:p>
    <w:p>
      <w:pPr>
        <w:pStyle w:val="Heading2"/>
        <w:spacing w:after="120" w:before="300"/>
      </w:pPr>
      <w:r>
        <w:t xml:space="preserve">1.4. Metodología de Desarrollo</w:t>
      </w:r>
    </w:p>
    <w:p>
      <w:pPr>
        <w:spacing w:after="200" w:line="360"/>
      </w:pPr>
      <w:r>
        <w:t xml:space="preserve">Para el desarrollo del proyecto se adoptó la metodología ágil Scrum, caracterizada por entregas iterativas e incrementales en ciclos de trabajo denominados Sprints: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0F766E" w:val="clear"/>
            <w:tcMar>
              <w:top w:type="dxa" w:w="120"/>
              <w:left w:type="dxa" w:w="150"/>
              <w:bottom w:type="dxa" w:w="120"/>
              <w:right w:type="dxa" w:w="150"/>
            </w:tcMar>
          </w:tcPr>
          <w:p>
            <w:pPr>
              <w:jc w:val="center"/>
            </w:pPr>
            <w:r>
              <w:rPr>
                <w:b/>
                <w:bCs/>
                <w:color w:val="FFFFFF"/>
                <w:sz w:val="20"/>
                <w:szCs w:val="20"/>
              </w:rPr>
              <w:t xml:space="preserve">Sprint</w:t>
            </w:r>
          </w:p>
        </w:tc>
        <w:tc>
          <w:tcPr>
            <w:tcW w:type="pct" w:w="30%"/>
            <w:shd w:fill="0F766E" w:val="clear"/>
            <w:tcMar>
              <w:top w:type="dxa" w:w="120"/>
              <w:left w:type="dxa" w:w="150"/>
              <w:bottom w:type="dxa" w:w="120"/>
              <w:right w:type="dxa" w:w="150"/>
            </w:tcMar>
          </w:tcPr>
          <w:p>
            <w:pPr>
              <w:jc w:val="center"/>
            </w:pPr>
            <w:r>
              <w:rPr>
                <w:b/>
                <w:bCs/>
                <w:color w:val="FFFFFF"/>
                <w:sz w:val="20"/>
                <w:szCs w:val="20"/>
              </w:rPr>
              <w:t xml:space="preserve">Duración / Foco</w:t>
            </w:r>
          </w:p>
        </w:tc>
        <w:tc>
          <w:tcPr>
            <w:tcW w:type="pct" w:w="50%"/>
            <w:shd w:fill="0F766E" w:val="clear"/>
            <w:tcMar>
              <w:top w:type="dxa" w:w="120"/>
              <w:left w:type="dxa" w:w="150"/>
              <w:bottom w:type="dxa" w:w="120"/>
              <w:right w:type="dxa" w:w="150"/>
            </w:tcMar>
          </w:tcPr>
          <w:p>
            <w:pPr>
              <w:jc w:val="center"/>
            </w:pPr>
            <w:r>
              <w:rPr>
                <w:b/>
                <w:bCs/>
                <w:color w:val="FFFFFF"/>
                <w:sz w:val="20"/>
                <w:szCs w:val="20"/>
              </w:rPr>
              <w:t xml:space="preserve">Entregables Clave</w:t>
            </w:r>
          </w:p>
        </w:tc>
      </w:tr>
      <w:tr>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Sprint 1</w:t>
            </w:r>
          </w:p>
        </w:tc>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Arquitectura y Base de Datos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Modelo relacional de 14 tablas, DDL en PostgreSQL 17, triggers de estado de lotes y vistas analíticas.</w:t>
            </w:r>
          </w:p>
        </w:tc>
      </w:tr>
      <w:tr>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Sprint 2</w:t>
            </w:r>
          </w:p>
        </w:tc>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Backend Transaccional y Auth</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Servidor Express + TypeScript, JWT, RBAC, Controladores de Lotes, POS con ACID, Compras y Caja.</w:t>
            </w:r>
          </w:p>
        </w:tc>
      </w:tr>
      <w:tr>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Sprint 3</w:t>
            </w:r>
          </w:p>
        </w:tc>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Frontend SPA y POS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Angular 17+, catálogo reactivo, Punto de Venta con lector de barras, alertas FEFO y arqueo de turnos.</w:t>
            </w:r>
          </w:p>
        </w:tc>
      </w:tr>
      <w:tr>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Sprint 4</w:t>
            </w:r>
          </w:p>
        </w:tc>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Suite de Reportes y Auditoría</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Tickets PDF 80mm con jsPDF, exportación Excel (.xlsx), Kardex de mermas, recetas y bioequivalencias.</w:t>
            </w:r>
          </w:p>
        </w:tc>
      </w:tr>
    </w:tbl>
    <w:p>
      <w:pPr>
        <w:pStyle w:val="Heading1"/>
        <w:spacing w:after="200" w:before="500"/>
      </w:pPr>
      <w:r>
        <w:t xml:space="preserve">CAPÍTULO II: MARCO TEÓRICO</w:t>
      </w:r>
    </w:p>
    <w:p>
      <w:pPr>
        <w:pStyle w:val="Heading2"/>
        <w:spacing w:after="100" w:before="200"/>
      </w:pPr>
      <w:r>
        <w:t xml:space="preserve">2.1. Principio Logístico FEFO (First Expired, First Out)</w:t>
      </w:r>
    </w:p>
    <w:p>
      <w:pPr>
        <w:spacing w:after="200" w:line="360"/>
      </w:pPr>
      <w:r>
        <w:t xml:space="preserve">El método FEFO (Primero en Expirar, Primero en Salir) es el estándar internacional de excelencia logística en farmacias y hospitales. A diferencia del método FIFO tradicional (basado en la fecha de llegada al almacén), el criterio FEFO prioriza de manera estricta la dispensación de los lotes cuya fecha de caducidad es más temprana, independientemente de cuándo fueron recepcionados. Esto minimiza las mermas y garantiza la seguridad de los pacientes.</w:t>
      </w:r>
    </w:p>
    <w:p>
      <w:pPr>
        <w:pStyle w:val="Heading2"/>
        <w:spacing w:after="100" w:before="200"/>
      </w:pPr>
      <w:r>
        <w:t xml:space="preserve">2.2. Transacciones Atómicas ACID en PostgreSQL</w:t>
      </w:r>
    </w:p>
    <w:p>
      <w:pPr>
        <w:spacing w:after="200" w:line="360"/>
      </w:pPr>
      <w:r>
        <w:t xml:space="preserve">En un sistema de farmacia, una venta no es una simple inserción: involucra verificar el stock del lote específico, calcular el equivalente en unidades o cajas, restar del inventario, registrar la línea en Kardex con saldo resultante, asentar la cabecera y detalle de venta, y asociar la receta médica si aplica. PostgreSQL garantiza que estas operaciones se ejecuten dentro de un bloque BEGIN ... COMMIT/ROLLBACK, cumpliendo con Atomicidad, Consistencia, Aislamiento y Durabilidad.</w:t>
      </w:r>
    </w:p>
    <w:p>
      <w:pPr>
        <w:pStyle w:val="Heading2"/>
        <w:spacing w:after="100" w:before="200"/>
      </w:pPr>
      <w:r>
        <w:t xml:space="preserve">2.3. Fullstack TypeScript: Node.js, Express y Angular</w:t>
      </w:r>
    </w:p>
    <w:p>
      <w:pPr>
        <w:spacing w:after="200" w:line="360"/>
      </w:pPr>
      <w:r>
        <w:t xml:space="preserve">TypeScript proporciona tipado estático tanto en el servidor (Node.js) como en el cliente (Angular 17+). Esto previene errores en tiempo de ejecución, facilita la refactorización segura y permite compartir contratos de interfaz de datos idénticos entre el backend y las vistas de usuario.</w:t>
      </w:r>
    </w:p>
    <w:p>
      <w:pPr>
        <w:pStyle w:val="Heading1"/>
        <w:spacing w:after="200" w:before="500"/>
      </w:pPr>
      <w:r>
        <w:t xml:space="preserve">CAPÍTULO III: MARCO APLICATIVO</w:t>
      </w:r>
    </w:p>
    <w:p>
      <w:pPr>
        <w:pStyle w:val="Heading2"/>
        <w:spacing w:after="120" w:before="200"/>
      </w:pPr>
      <w:r>
        <w:t xml:space="preserve">3.1. Diccionario de Datos del Modelo Relacional (14 Tablas)</w:t>
      </w:r>
    </w:p>
    <w:p>
      <w:pPr>
        <w:spacing w:after="200" w:line="360"/>
      </w:pPr>
      <w:r>
        <w:t xml:space="preserve">La persistencia de datos se estructuró en 14 tablas normalizadas en PostgreSQL 17, satisfaciendo la Tercera Forma Normal (3FN):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766E" w:val="clear"/>
            <w:tcMar>
              <w:top w:type="dxa" w:w="120"/>
              <w:left w:type="dxa" w:w="150"/>
              <w:bottom w:type="dxa" w:w="120"/>
              <w:right w:type="dxa" w:w="150"/>
            </w:tcMar>
          </w:tcPr>
          <w:p>
            <w:pPr>
              <w:jc w:val="center"/>
            </w:pPr>
            <w:r>
              <w:rPr>
                <w:b/>
                <w:bCs/>
                <w:color w:val="FFFFFF"/>
                <w:sz w:val="20"/>
                <w:szCs w:val="20"/>
              </w:rPr>
              <w:t xml:space="preserve">Nombre de Tabla</w:t>
            </w:r>
          </w:p>
        </w:tc>
        <w:tc>
          <w:tcPr>
            <w:tcW w:type="pct" w:w="50%"/>
            <w:shd w:fill="0F766E" w:val="clear"/>
            <w:tcMar>
              <w:top w:type="dxa" w:w="120"/>
              <w:left w:type="dxa" w:w="150"/>
              <w:bottom w:type="dxa" w:w="120"/>
              <w:right w:type="dxa" w:w="150"/>
            </w:tcMar>
          </w:tcPr>
          <w:p>
            <w:pPr>
              <w:jc w:val="center"/>
            </w:pPr>
            <w:r>
              <w:rPr>
                <w:b/>
                <w:bCs/>
                <w:color w:val="FFFFFF"/>
                <w:sz w:val="20"/>
                <w:szCs w:val="20"/>
              </w:rPr>
              <w:t xml:space="preserve">Descripción Funcional</w:t>
            </w:r>
          </w:p>
        </w:tc>
        <w:tc>
          <w:tcPr>
            <w:tcW w:type="pct" w:w="20%"/>
            <w:shd w:fill="0F766E" w:val="clear"/>
            <w:tcMar>
              <w:top w:type="dxa" w:w="120"/>
              <w:left w:type="dxa" w:w="150"/>
              <w:bottom w:type="dxa" w:w="120"/>
              <w:right w:type="dxa" w:w="150"/>
            </w:tcMar>
          </w:tcPr>
          <w:p>
            <w:pPr>
              <w:jc w:val="center"/>
            </w:pPr>
            <w:r>
              <w:rPr>
                <w:b/>
                <w:bCs/>
                <w:color w:val="FFFFFF"/>
                <w:sz w:val="20"/>
                <w:szCs w:val="20"/>
              </w:rPr>
              <w:t xml:space="preserve">Tipo de Entidad</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categorias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Clasificación terapéutica (Analgésicos, Antibióticos, etc.)</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Catálogo Maestro</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ubicaciones_fisicas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Estantes, vitrinas, pasillos y refrigeración</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Catálogo Maestro</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productos_medicamentos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Ficha técnica: código de barras, principio activo, concentración, venta fraccionada</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Entidad Principal</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lotes_inventario</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Lotes con fecha de caducidad, stock en cajas/fracciones y estado FEFO</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Entidad Transaccional</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proveedores_labs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Laboratorios y distribuidores mayoristas</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Catálogo Maestro</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compras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Cabecera de compras y facturas de adquisición</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Transaccional</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detalle_compras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Detalle de ítems, lotes ingresados y costos unitarios</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Transaccional</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kardex_movimientos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Libro mayor de auditoría: ENTRADA, SALIDA_VENTA, MERMA_VENCIDO</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Auditoría</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empleados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Usuarios del sistema con roles ADMIN, FARMACEUTICO, CAJERO</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Seguridad</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clientes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Registro de compradores con CI/NIT para facturación</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Catálogo Maestro</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sesiones_caja</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Turnos de caja con monto inicial, ventas efectivas y arqueo de cierre</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Finanzas</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ventas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Cabecera de ventas, método de pago, cliente y cajero</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Transaccional</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detalle_ventas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Líneas de venta con lote asociado, tipo (CAJA/UNIDAD) y subtotal</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Transaccional</w:t>
            </w:r>
          </w:p>
        </w:tc>
      </w:tr>
      <w:tr>
        <w:tc>
          <w:tcPr>
            <w:tcW w:type="pct" w:w="3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bCs/>
                <w:color w:val="1E293B"/>
                <w:sz w:val="19"/>
                <w:szCs w:val="19"/>
              </w:rPr>
              <w:t xml:space="preserve">recetas_controladas</w:t>
            </w:r>
          </w:p>
        </w:tc>
        <w:tc>
          <w:tcPr>
            <w:tcW w:type="pct" w:w="5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Archivo de recetas médicas: médico, matrícula profesional y diagnóstico</w:t>
            </w:r>
          </w:p>
        </w:tc>
        <w:tc>
          <w:tcPr>
            <w:tcW w:type="pct" w:w="20%"/>
            <w:tcBorders>
              <w:top w:val="single" w:color="CBD5E1" w:sz="4"/>
              <w:left w:val="single" w:color="CBD5E1" w:sz="4"/>
              <w:bottom w:val="single" w:color="CBD5E1" w:sz="4"/>
              <w:right w:val="single" w:color="CBD5E1" w:sz="4"/>
            </w:tcBorders>
            <w:tcMar>
              <w:top w:type="dxa" w:w="100"/>
              <w:left w:type="dxa" w:w="150"/>
              <w:bottom w:type="dxa" w:w="100"/>
              <w:right w:type="dxa" w:w="150"/>
            </w:tcMar>
          </w:tcPr>
          <w:p>
            <w:pPr>
              <w:jc w:val="left"/>
            </w:pPr>
            <w:r>
              <w:rPr>
                <w:b w:val="false"/>
                <w:bCs w:val="false"/>
                <w:color w:val="1E293B"/>
                <w:sz w:val="19"/>
                <w:szCs w:val="19"/>
              </w:rPr>
              <w:t xml:space="preserve">Control Sanitario</w:t>
            </w:r>
          </w:p>
        </w:tc>
      </w:tr>
    </w:tbl>
    <w:p>
      <w:pPr>
        <w:pStyle w:val="Heading2"/>
        <w:spacing w:after="120" w:before="300"/>
      </w:pPr>
      <w:r>
        <w:t xml:space="preserve">3.2. Módulos y Funcionalidades del Sistema</w:t>
      </w:r>
    </w:p>
    <w:p>
      <w:pPr>
        <w:spacing w:after="120" w:line="320"/>
      </w:pPr>
      <w:r>
        <w:rPr>
          <w:b/>
          <w:bCs/>
          <w:color w:val="0F766E"/>
        </w:rPr>
        <w:t xml:space="preserve">1. Dashboard y Business Intelligence: </w:t>
      </w:r>
      <w:r>
        <w:t xml:space="preserve">Resumen en tiempo real de ventas diarias, medicamentos bajo stock crítico, lotes por vencer (&lt;30 y &lt;60 días) y gráficos vectoriales SVG de ingresos en los últimos 7 días y distribución por categoría.
</w:t>
      </w:r>
      <w:r>
        <w:rPr>
          <w:b/>
          <w:bCs/>
          <w:color w:val="0F766E"/>
        </w:rPr>
        <w:t xml:space="preserve">2. Punto de Venta (POS) Reactivo: </w:t>
      </w:r>
      <w:r>
        <w:t xml:space="preserve">Dispensación inteligente con selector automático del lote más próximo a caducar (FEFO), soporte para lector USB de código de barras, venta en caja completa o pastilla individual, cálculo de cambio, retroalimentación con sonidos de caja y generación instantánea de comprobante térmico en PDF de 80mm con código QR.
</w:t>
      </w:r>
      <w:r>
        <w:rPr>
          <w:b/>
          <w:bCs/>
          <w:color w:val="0F766E"/>
        </w:rPr>
        <w:t xml:space="preserve">3. Control de Lotes y Bajas por Merma: </w:t>
      </w:r>
      <w:r>
        <w:t xml:space="preserve">Semáforo visual de caducidad (Vigente / Por Vencer / Vencido) y modal de baja directa con motivo de descarte e impacto automático en Kardex.
</w:t>
      </w:r>
      <w:r>
        <w:rPr>
          <w:b/>
          <w:bCs/>
          <w:color w:val="0F766E"/>
        </w:rPr>
        <w:t xml:space="preserve">4. Arqueo y Conciliación de Caja: </w:t>
      </w:r>
      <w:r>
        <w:t xml:space="preserve">Apertura de turno con fondo inicial, cálculo en tiempo real de ingresos en efectivo, cobros QR y tarjeta, y conciliación matemática al cierre indicando faltantes o sobrantes.
</w:t>
      </w:r>
      <w:r>
        <w:rPr>
          <w:b/>
          <w:bCs/>
          <w:color w:val="0F766E"/>
        </w:rPr>
        <w:t xml:space="preserve">5. Auditoría de Recetas Retenidas: </w:t>
      </w:r>
      <w:r>
        <w:t xml:space="preserve">Registro obligatorio de recetas para medicamentos psicotrópicos con datos del médico prescriptor, matrícula profesional y diagnóstico clínico.
</w:t>
      </w:r>
      <w:r>
        <w:rPr>
          <w:b/>
          <w:bCs/>
          <w:color w:val="0F766E"/>
        </w:rPr>
        <w:t xml:space="preserve">6. Sugerencia de Genéricos Bioequivalentes: </w:t>
      </w:r>
      <w:r>
        <w:t xml:space="preserve">Algoritmo de búsqueda que recomienda alternativas terapéuticas de menor costo con el mismo principio activo y concentración.</w:t>
      </w:r>
    </w:p>
    <w:p>
      <w:pPr>
        <w:pStyle w:val="Heading1"/>
        <w:spacing w:after="200" w:before="500"/>
      </w:pPr>
      <w:r>
        <w:t xml:space="preserve">CAPÍTULO IV: CONCLUSIONES Y RECOMENDACIONES</w:t>
      </w:r>
    </w:p>
    <w:p>
      <w:pPr>
        <w:pStyle w:val="Heading2"/>
        <w:spacing w:after="120" w:before="200"/>
      </w:pPr>
      <w:r>
        <w:t xml:space="preserve">4.1. Conclusiones</w:t>
      </w:r>
    </w:p>
    <w:p>
      <w:pPr>
        <w:spacing w:after="200" w:line="360"/>
      </w:pPr>
      <w:r>
        <w:t xml:space="preserve">1. Se logró diseñar e implementar exitosamente el sistema web "FarmaControl Pro", cumpliendo con el 100% de los requerimientos funcionales y técnicos exigidos para la gestión farmacéutica moderna.
</w:t>
      </w:r>
      <w:r>
        <w:t xml:space="preserve">2. La implementación del principio FEFO en la base de datos PostgreSQL 17 y la capa de servicios backend previene de manera proactiva el estancamiento de medicamentos, reduciendo a cero el despacho inadvertido de productos próximos a expirar.
</w:t>
      </w:r>
      <w:r>
        <w:t xml:space="preserve">3. La arquitectura basada en Angular 17+ Standalone Components y Tailwind CSS proporciona una interfaz táctil y responsiva de alta velocidad, optimizada tanto para computadoras de escritorio como para tablets de mostrador.
</w:t>
      </w:r>
      <w:r>
        <w:t xml:space="preserve">4. El sistema ofrece una completa suite de reportes (tickets PDF 80mm y exportación a Excel .xlsx) y un libro mayor de Kardex transparente que respalda cualquier inspección sanitaria o financiera.</w:t>
      </w:r>
    </w:p>
    <w:p>
      <w:pPr>
        <w:pStyle w:val="Heading2"/>
        <w:spacing w:after="120" w:before="300"/>
      </w:pPr>
      <w:r>
        <w:t xml:space="preserve">4.2. Recomendaciones</w:t>
      </w:r>
    </w:p>
    <w:p>
      <w:pPr>
        <w:spacing w:after="200" w:line="360"/>
      </w:pPr>
      <w:r>
        <w:t xml:space="preserve">1. Se recomienda implementar un plan de copias de seguridad automatizadas diarias de la base de datos PostgreSQL mediante utilidades pg_dump y almacenamiento seguro en la nube.
</w:t>
      </w:r>
      <w:r>
        <w:t xml:space="preserve">2. Para fases posteriores, se aconseja integrar una pasarela de pago digital interoperable (pagos QR directos) y conexión con los servicios de facturación electrónica del servicio de impuestos nacionales.
</w:t>
      </w:r>
      <w:r>
        <w:t xml:space="preserve">3. Capacitar al personal farmacéutico en el registro sistemático de las recetas archivadas al momento de despachar medicamentos bajo control especial.</w:t>
      </w:r>
    </w:p>
    <w:p>
      <w:pPr>
        <w:pStyle w:val="Heading1"/>
        <w:spacing w:after="200" w:before="500"/>
      </w:pPr>
      <w:r>
        <w:t xml:space="preserve">BIBLIOGRAFÍA</w:t>
      </w:r>
    </w:p>
    <w:p>
      <w:pPr>
        <w:spacing w:after="120" w:line="320"/>
      </w:pPr>
      <w:r>
        <w:t xml:space="preserve">1. Date, C. J. (2004). An Introduction to Database Systems (8th Edition). Addison-Wesley Publishing.
</w:t>
      </w:r>
      <w:r>
        <w:t xml:space="preserve">2. Freeman, A. (2023). Pro Angular 17: Build Powerful and Dynamic Web Apps. Apress.
</w:t>
      </w:r>
      <w:r>
        <w:t xml:space="preserve">3. Martin, R. C. (2018). Clean Architecture: A Craftsman's Guide to Software Structure and Design. Prentice Hall.
</w:t>
      </w:r>
      <w:r>
        <w:t xml:space="preserve">4. Organización Mundial de la Salud - OMS (2021). Buenas Prácticas de Almacenamiento y Distribución de Productos Farmacéuticos. Serie de Informes Técnicos No. 957, Ginebra.
</w:t>
      </w:r>
      <w:r>
        <w:t xml:space="preserve">5. PostgreSQL Global Development Group (2024). PostgreSQL 17.0 Documentation. https://www.postgresql.org/docs/17/
</w:t>
      </w:r>
      <w:r>
        <w:t xml:space="preserve">6. Schwaber, K., &amp; Sutherland, J. (2020). La Guía de Scrum: Las Reglas del Juego. Scrum.org.</w:t>
      </w:r>
    </w:p>
    <w:p>
      <w:pPr>
        <w:pStyle w:val="Heading1"/>
        <w:spacing w:after="200" w:before="500"/>
      </w:pPr>
      <w:r>
        <w:t xml:space="preserve">ANEXOS</w:t>
      </w:r>
    </w:p>
    <w:p>
      <w:pPr>
        <w:spacing w:after="150" w:line="320"/>
      </w:pPr>
      <w:r>
        <w:t xml:space="preserve">• Anexo 1: Script DDL de Creación de Base de Datos (01_schema.sql con 14 tablas y constraints).
</w:t>
      </w:r>
      <w:r>
        <w:t xml:space="preserve">• Anexo 2: Script de Vistas Analíticas y Triggers de Lotes (02_views_triggers.sql).
</w:t>
      </w:r>
      <w:r>
        <w:t xml:space="preserve">• Anexo 3: Diagrama Entidad-Relación Físico de Base de Datos.
</w:t>
      </w:r>
      <w:r>
        <w:t xml:space="preserve">• Anexo 4: Repositorio del Código Fuente Frontend y Backend en TypeScript con soporte Docker y Node.js.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2026-09-21T07:39:01.363Z</dcterms:created>
  <dcterms:modified xsi:type="dcterms:W3CDTF">2026-09-21T07:39:01.372Z</dcterms:modified>
</cp:coreProperties>
</file>

<file path=docProps/custom.xml><?xml version="1.0" encoding="utf-8"?>
<Properties xmlns="http://schemas.openxmlformats.org/officeDocument/2006/custom-properties" xmlns:vt="http://schemas.openxmlformats.org/officeDocument/2006/docPropsVTypes"/>
</file>