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Resource constraint - Threshold 60.0</w:t>
      </w:r>
    </w:p>
    <w:p>
      <w:r>
        <w:t>Threshold applied: 60.0</w:t>
      </w:r>
    </w:p>
    <w:p>
      <w:r>
        <w:t>Formula: (CPU% + RAM%) / 2 &lt;= Threshold</w:t>
      </w:r>
    </w:p>
    <w:p>
      <w:r>
        <w:t>Admissible solutions: 1/5</w:t>
      </w:r>
    </w:p>
    <w:p>
      <w:pPr>
        <w:pStyle w:val="Heading2"/>
      </w:pPr>
      <w:r>
        <w:t>Admissible solutions</w:t>
      </w:r>
    </w:p>
    <w:p>
      <w:pPr>
        <w:pStyle w:val="ListBullet"/>
      </w:pPr>
      <w:r>
        <w:t>CNN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TabNet</w:t>
      </w:r>
    </w:p>
    <w:p>
      <w:pPr>
        <w:pStyle w:val="ListBullet"/>
      </w:pPr>
      <w:r>
        <w:t>LR</w:t>
      </w:r>
    </w:p>
    <w:p>
      <w:pPr>
        <w:pStyle w:val="ListBullet"/>
      </w:pPr>
      <w:r>
        <w:t>RF</w:t>
      </w:r>
    </w:p>
    <w:p>
      <w:pPr>
        <w:pStyle w:val="ListBullet"/>
      </w:pPr>
      <w:r>
        <w:t>DT</w:t>
      </w:r>
    </w:p>
    <w:p>
      <w:pPr>
        <w:pStyle w:val="Heading2"/>
      </w:pPr>
      <w:r>
        <w:t>Interpretation</w:t>
      </w:r>
    </w:p>
    <w:p>
      <w:r>
        <w:t>Intermediate threshold: the constraint filters a subset of solutions. This illustrates the trade-off between performance, explainability, and resources.</w:t>
      </w:r>
    </w:p>
    <w:p>
      <w:pPr>
        <w:pStyle w:val="Heading2"/>
      </w:pPr>
      <w:r>
        <w:t>Link to assessment criteria</w:t>
      </w:r>
    </w:p>
    <w:p>
      <w:r>
        <w:t>Pillar weights: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