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- Seuil 40.0</w:t>
      </w:r>
    </w:p>
    <w:p>
      <w:r>
        <w:t>Seuil applique: 40.0</w:t>
      </w:r>
    </w:p>
    <w:p>
      <w:r>
        <w:t>Formule: dim_performance &gt;= Seuil</w:t>
      </w:r>
    </w:p>
    <w:p>
      <w:r>
        <w:t>Solutions admissibles: 4/5</w:t>
      </w:r>
    </w:p>
    <w:p>
      <w:pPr>
        <w:pStyle w:val="Heading2"/>
      </w:pPr>
      <w:r>
        <w:t>Solutions admissibles</w:t>
      </w:r>
    </w:p>
    <w:p>
      <w:pPr>
        <w:pStyle w:val="ListBullet"/>
      </w:pPr>
      <w:r>
        <w:t>RF</w:t>
      </w:r>
    </w:p>
    <w:p>
      <w:pPr>
        <w:pStyle w:val="ListBullet"/>
      </w:pPr>
      <w:r>
        <w:t>TabNet</w:t>
      </w:r>
    </w:p>
    <w:p>
      <w:pPr>
        <w:pStyle w:val="ListBullet"/>
      </w:pPr>
      <w:r>
        <w:t>DT</w:t>
      </w:r>
    </w:p>
    <w:p>
      <w:pPr>
        <w:pStyle w:val="ListBullet"/>
      </w:pPr>
      <w:r>
        <w:t>LR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CNN</w:t>
      </w:r>
    </w:p>
    <w:p>
      <w:pPr>
        <w:pStyle w:val="Heading2"/>
      </w:pPr>
      <w:r>
        <w:t>Interpretation</w:t>
      </w:r>
    </w:p>
    <w:p>
      <w:r>
        <w:t>Seuil intermediaire: la contrainte filtre une partie des solutions. Cela illustre le compromis entre performances, explicabilite et ressources.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