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Explainability - Threshold 60.0</w:t>
      </w:r>
    </w:p>
    <w:p>
      <w:r>
        <w:t>Threshold applied: 60.0</w:t>
      </w:r>
    </w:p>
    <w:p>
      <w:r>
        <w:t>Formula: dim_explainability &gt;= Threshold</w:t>
      </w:r>
    </w:p>
    <w:p>
      <w:r>
        <w:t>Admissible solutions: 2/5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RF</w:t>
      </w:r>
    </w:p>
    <w:p>
      <w:pPr>
        <w:pStyle w:val="ListBullet"/>
      </w:pPr>
      <w:r>
        <w:t>CNN</w:t>
      </w:r>
    </w:p>
    <w:p>
      <w:pPr>
        <w:pStyle w:val="ListBullet"/>
      </w:pPr>
      <w:r>
        <w:t>TabNet</w:t>
      </w:r>
    </w:p>
    <w:p>
      <w:pPr>
        <w:pStyle w:val="Heading2"/>
      </w:pPr>
      <w:r>
        <w:t>Interpretation</w:t>
      </w:r>
    </w:p>
    <w:p>
      <w:r>
        <w:t>Intermediate threshold: the constraint filters a subset of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