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Explicabilite - Seuil 40.0</w:t>
      </w:r>
    </w:p>
    <w:p>
      <w:r>
        <w:t>Seuil applique: 40.0</w:t>
      </w:r>
    </w:p>
    <w:p>
      <w:r>
        <w:t>Formule: dim_explainability &gt;= Seuil</w:t>
      </w:r>
    </w:p>
    <w:p>
      <w:r>
        <w:t>Solutions admissibles: 2/5</w:t>
      </w:r>
    </w:p>
    <w:p>
      <w:pPr>
        <w:pStyle w:val="Heading2"/>
      </w:pPr>
      <w:r>
        <w:t>Solutions admissibles</w:t>
      </w:r>
    </w:p>
    <w:p>
      <w:pPr>
        <w:pStyle w:val="ListBullet"/>
      </w:pPr>
      <w:r>
        <w:t>LR</w:t>
      </w:r>
    </w:p>
    <w:p>
      <w:pPr>
        <w:pStyle w:val="ListBullet"/>
      </w:pPr>
      <w:r>
        <w:t>DT</w:t>
      </w:r>
    </w:p>
    <w:p>
      <w:pPr>
        <w:pStyle w:val="Heading2"/>
      </w:pPr>
      <w:r>
        <w:t>Solutions rejetees</w:t>
      </w:r>
    </w:p>
    <w:p>
      <w:pPr>
        <w:pStyle w:val="ListBullet"/>
      </w:pPr>
      <w:r>
        <w:t>RF</w:t>
      </w:r>
    </w:p>
    <w:p>
      <w:pPr>
        <w:pStyle w:val="ListBullet"/>
      </w:pPr>
      <w:r>
        <w:t>TabNet</w:t>
      </w:r>
    </w:p>
    <w:p>
      <w:pPr>
        <w:pStyle w:val="ListBullet"/>
      </w:pPr>
      <w:r>
        <w:t>CNN</w:t>
      </w:r>
    </w:p>
    <w:p>
      <w:pPr>
        <w:pStyle w:val="Heading2"/>
      </w:pPr>
      <w:r>
        <w:t>Interpretation</w:t>
      </w:r>
    </w:p>
    <w:p>
      <w:r>
        <w:t>Seuil intermediaire: la contrainte filtre une partie des solutions. Cela illustre le compromis entre performances, explicabilite et ressources.</w:t>
      </w:r>
    </w:p>
    <w:p>
      <w:pPr>
        <w:pStyle w:val="Heading2"/>
      </w:pPr>
      <w:r>
        <w:t>Lien avec criteres du prof</w:t>
      </w:r>
    </w:p>
    <w:p>
      <w:r>
        <w:t>Poids des piliers: Performance: 0.70, Explicabilité: 0.15, Ressources: 0.15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