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Explainability - Threshold 100.0</w:t>
      </w:r>
    </w:p>
    <w:p>
      <w:r>
        <w:t>Threshold applique: 100.0</w:t>
      </w:r>
    </w:p>
    <w:p>
      <w:r>
        <w:t>Formula: dim_explainability &gt;= Threshold</w:t>
      </w:r>
    </w:p>
    <w:p>
      <w:r>
        <w:t>Admissible solutions: 0/5</w:t>
      </w:r>
    </w:p>
    <w:p>
      <w:pPr>
        <w:pStyle w:val="Heading2"/>
      </w:pPr>
      <w:r>
        <w:t>Admissible solutions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ListBullet"/>
      </w:pPr>
      <w:r>
        <w:t>RF</w:t>
      </w:r>
    </w:p>
    <w:p>
      <w:pPr>
        <w:pStyle w:val="ListBullet"/>
      </w:pPr>
      <w:r>
        <w:t>TabNet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Threshold tres strict: no admissible solution. Relax the constraint or adjust the weights.</w:t>
      </w:r>
    </w:p>
    <w:p>
      <w:pPr>
        <w:pStyle w:val="Heading2"/>
      </w:pPr>
      <w:r>
        <w:t>Link to assessment criteria</w:t>
      </w:r>
    </w:p>
    <w:p>
      <w:r>
        <w:t>Weights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