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80.0</w:t>
      </w:r>
    </w:p>
    <w:p>
      <w:r>
        <w:t>Threshold applique: 80.0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CNN</w:t>
      </w:r>
    </w:p>
    <w:p>
      <w:pPr>
        <w:pStyle w:val="Heading2"/>
      </w:pPr>
      <w:r>
        <w:t>Interpretation</w:t>
      </w:r>
    </w:p>
    <w:p>
      <w:r>
        <w:t>Threshold tres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Weights des piliers: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