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Explainability - Threshold 30.0</w:t>
      </w:r>
    </w:p>
    <w:p>
      <w:r>
        <w:t>Threshold applied: 30.0</w:t>
      </w:r>
    </w:p>
    <w:p>
      <w:r>
        <w:t>Formula: dim_explainability &gt;= Threshold</w:t>
      </w:r>
    </w:p>
    <w:p>
      <w:r>
        <w:t>Admissible solutions: 4/5</w:t>
      </w:r>
    </w:p>
    <w:p>
      <w:pPr>
        <w:pStyle w:val="Heading2"/>
      </w:pPr>
      <w:r>
        <w:t>Admissible solutions</w:t>
      </w:r>
    </w:p>
    <w:p>
      <w:pPr>
        <w:pStyle w:val="ListBullet"/>
      </w:pPr>
      <w:r>
        <w:t>LR</w:t>
      </w:r>
    </w:p>
    <w:p>
      <w:pPr>
        <w:pStyle w:val="ListBullet"/>
      </w:pPr>
      <w:r>
        <w:t>DT</w:t>
      </w:r>
    </w:p>
    <w:p>
      <w:pPr>
        <w:pStyle w:val="ListBullet"/>
      </w:pPr>
      <w:r>
        <w:t>RF</w:t>
      </w:r>
    </w:p>
    <w:p>
      <w:pPr>
        <w:pStyle w:val="ListBullet"/>
      </w:pPr>
      <w:r>
        <w:t>CNN</w:t>
      </w:r>
    </w:p>
    <w:p>
      <w:pPr>
        <w:pStyle w:val="Heading2"/>
      </w:pPr>
      <w:r>
        <w:t>Rejected solutions</w:t>
      </w:r>
    </w:p>
    <w:p>
      <w:pPr>
        <w:pStyle w:val="ListBullet"/>
      </w:pPr>
      <w:r>
        <w:t>TabNet</w:t>
      </w:r>
    </w:p>
    <w:p>
      <w:pPr>
        <w:pStyle w:val="Heading2"/>
      </w:pPr>
      <w:r>
        <w:t>Interpretation</w:t>
      </w:r>
    </w:p>
    <w:p>
      <w:r>
        <w:t>Intermediate threshold: the constraint filters a subset of solutions. This illustrates the trade-off between performance, explainability, and resources.</w:t>
      </w:r>
    </w:p>
    <w:p>
      <w:pPr>
        <w:pStyle w:val="Heading2"/>
      </w:pPr>
      <w:r>
        <w:t>Link to assessment criteria</w:t>
      </w:r>
    </w:p>
    <w:p>
      <w:r>
        <w:t>Pillar weights: Performance: 0.70, Explicabilité: 0.15, Ressources: 0.15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