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D7F65" w14:textId="77777777" w:rsidR="00884249" w:rsidRPr="00B92DB4" w:rsidRDefault="00884249" w:rsidP="00B92DB4">
      <w:pPr>
        <w:spacing w:before="20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B5D1EDB" w14:textId="77777777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ODD Protocol</w:t>
      </w:r>
    </w:p>
    <w:p w14:paraId="6E75973D" w14:textId="4C504C56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Bayesian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gent-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ased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odel of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nfectious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isease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tr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ansmission</w:t>
      </w:r>
      <w:r w:rsidR="00B92DB4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in an urban center</w:t>
      </w:r>
    </w:p>
    <w:p w14:paraId="022465DA" w14:textId="77777777" w:rsidR="00884249" w:rsidRPr="00B92DB4" w:rsidRDefault="00884249" w:rsidP="00B92DB4">
      <w:pPr>
        <w:spacing w:before="1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5CB55ED6" w14:textId="3F8D6EBC" w:rsidR="00884249" w:rsidRPr="00B92DB4" w:rsidRDefault="00000000" w:rsidP="00B92DB4">
      <w:pPr>
        <w:pStyle w:val="Titre1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I. Overview</w:t>
      </w:r>
    </w:p>
    <w:p w14:paraId="35042F2E" w14:textId="77984EF0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1. Purpose of the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m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odel</w:t>
      </w:r>
    </w:p>
    <w:p w14:paraId="24D1BEAD" w14:textId="12922AC9" w:rsidR="00884249" w:rsidRDefault="00000000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This model simulates the spread of an infectious agent through a heterogeneous urban environment structured around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spatially distinct zones: a dense urban core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a lower-density 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o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 xml:space="preserve">ne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very dense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 mirroring European cities’ segregated poorer neighborhoods.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Agents are 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>households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and the health ministry of a fictional country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 xml:space="preserve"> over a complete year. Seasonality is introduced as a modifier of individual preferences, to mirror the contagious profile of the seasonal flu.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>The investigation explores the two following key policy questions:</w:t>
      </w:r>
    </w:p>
    <w:p w14:paraId="65EBE9F9" w14:textId="77777777" w:rsidR="00C32143" w:rsidRPr="00B92DB4" w:rsidRDefault="00C32143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EEF4CCE" w14:textId="7B10C18D" w:rsidR="00884249" w:rsidRPr="00C32143" w:rsidRDefault="005064E2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How do individual preferences shape the transmission rate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and death toll</w:t>
      </w: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of an infectious disease in a heterogeneous urban 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environment?</w:t>
      </w:r>
    </w:p>
    <w:p w14:paraId="1566303B" w14:textId="7B059FD4" w:rsidR="00C32143" w:rsidRDefault="002D5F67" w:rsidP="00C32143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>
        <w:rPr>
          <w:rFonts w:ascii="Times New Roman" w:hAnsi="Times New Roman" w:cs="Times New Roman"/>
          <w:i/>
          <w:iCs/>
          <w:color w:val="000000" w:themeColor="text1"/>
          <w:lang w:val="en-US"/>
        </w:rPr>
        <w:t>How does government entities’ signalling</w:t>
      </w:r>
      <w:r w:rsidR="005064E2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</w:t>
      </w:r>
      <w:r w:rsidR="00FD675B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shape transmission rates of the disease, through availability of information and level of trust in institutions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?</w:t>
      </w:r>
    </w:p>
    <w:p w14:paraId="3944EF16" w14:textId="77777777" w:rsidR="00C32143" w:rsidRPr="00C32143" w:rsidRDefault="00C32143" w:rsidP="00C32143">
      <w:pPr>
        <w:spacing w:before="40" w:after="40"/>
        <w:ind w:left="36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</w:p>
    <w:p w14:paraId="3D6B1B8E" w14:textId="133E1630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2. Entities,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tate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ariables and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cales</w:t>
      </w:r>
    </w:p>
    <w:p w14:paraId="510CDDF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2.1 Entities</w:t>
      </w:r>
    </w:p>
    <w:p w14:paraId="75AD3715" w14:textId="21983EE6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model contains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two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class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es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of agents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individuals (Person)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, and the health ministry.</w:t>
      </w:r>
    </w:p>
    <w:p w14:paraId="11270A5B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1C503ED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2.2 Agent state variables</w:t>
      </w:r>
    </w:p>
    <w:p w14:paraId="1E345DC9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tbl>
      <w:tblPr>
        <w:tblW w:w="9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9"/>
        <w:gridCol w:w="2049"/>
        <w:gridCol w:w="2049"/>
        <w:gridCol w:w="2049"/>
        <w:gridCol w:w="1844"/>
      </w:tblGrid>
      <w:tr w:rsidR="009D4AC7" w:rsidRPr="00B92DB4" w14:paraId="2E998408" w14:textId="77777777" w:rsidTr="002D5F67">
        <w:tblPrEx>
          <w:tblCellMar>
            <w:top w:w="0" w:type="dxa"/>
            <w:bottom w:w="0" w:type="dxa"/>
          </w:tblCellMar>
        </w:tblPrEx>
        <w:trPr>
          <w:trHeight w:val="166"/>
          <w:tblHeader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4D2" w14:textId="1FEA4355" w:rsidR="00884249" w:rsidRPr="00B92DB4" w:rsidRDefault="00B92DB4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State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BD1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Description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235A3" w14:textId="25215ADD" w:rsidR="00884249" w:rsidRPr="00B92DB4" w:rsidRDefault="00B92DB4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  <w:t>Contagiousness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0619D" w14:textId="0B8F1B8D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P</w:t>
            </w:r>
            <w:r w:rsid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(work)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B51A" w14:textId="3DA3140B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P(</w:t>
            </w:r>
            <w:r w:rsid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declaration</w:t>
            </w: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</w:tr>
      <w:tr w:rsidR="009D4AC7" w:rsidRPr="00B92DB4" w14:paraId="4D0946F8" w14:textId="77777777" w:rsidTr="002D5F67">
        <w:tblPrEx>
          <w:tblCellMar>
            <w:top w:w="0" w:type="dxa"/>
            <w:bottom w:w="0" w:type="dxa"/>
          </w:tblCellMar>
        </w:tblPrEx>
        <w:trPr>
          <w:trHeight w:val="308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FBB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7D9B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Susceptible — not infected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86F2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D79BF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65FC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—</w:t>
            </w:r>
          </w:p>
        </w:tc>
      </w:tr>
      <w:tr w:rsidR="009D4AC7" w:rsidRPr="00B92DB4" w14:paraId="341B3A84" w14:textId="77777777" w:rsidTr="002D5F67">
        <w:tblPrEx>
          <w:tblCellMar>
            <w:top w:w="0" w:type="dxa"/>
            <w:bottom w:w="0" w:type="dxa"/>
          </w:tblCellMar>
        </w:tblPrEx>
        <w:trPr>
          <w:trHeight w:val="308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46A70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E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43C6D" w14:textId="3B1BDA27" w:rsidR="00884249" w:rsidRPr="00B92DB4" w:rsidRDefault="002D5F67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</w:t>
            </w:r>
            <w:r w:rsidR="00000000"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ncubating — not yet infectious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1776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D910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B3ACA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—</w:t>
            </w:r>
          </w:p>
        </w:tc>
      </w:tr>
      <w:tr w:rsidR="009D4AC7" w:rsidRPr="00B92DB4" w14:paraId="3F897CF2" w14:textId="77777777" w:rsidTr="002D5F67">
        <w:tblPrEx>
          <w:tblCellMar>
            <w:top w:w="0" w:type="dxa"/>
            <w:bottom w:w="0" w:type="dxa"/>
          </w:tblCellMar>
        </w:tblPrEx>
        <w:trPr>
          <w:trHeight w:val="609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996C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Iₐ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71F2" w14:textId="79CD8ED8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Infectious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asymptomatic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 (never aware they have the disease)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1FCBF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β₀ · m_mode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0F30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≈ 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5A28B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</w:tr>
      <w:tr w:rsidR="009D4AC7" w:rsidRPr="00B92DB4" w14:paraId="67660109" w14:textId="77777777" w:rsidTr="002D5F67">
        <w:tblPrEx>
          <w:tblCellMar>
            <w:top w:w="0" w:type="dxa"/>
            <w:bottom w:w="0" w:type="dxa"/>
          </w:tblCellMar>
        </w:tblPrEx>
        <w:trPr>
          <w:trHeight w:val="617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3093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Iₛ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3705" w14:textId="6DDD1D8C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Infectious symptomatic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 (always aware they have the disease)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27675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β₀ · m_mode · r_s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56D3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 · r_w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9AEB" w14:textId="2356E12E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p_d</w:t>
            </w:r>
            <w:r w:rsidR="005064E2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e</w:t>
            </w: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c</w:t>
            </w:r>
          </w:p>
        </w:tc>
      </w:tr>
      <w:tr w:rsidR="009D4AC7" w:rsidRPr="00B92DB4" w14:paraId="6919740A" w14:textId="77777777" w:rsidTr="002D5F67">
        <w:tblPrEx>
          <w:tblCellMar>
            <w:top w:w="0" w:type="dxa"/>
            <w:bottom w:w="0" w:type="dxa"/>
          </w:tblCellMar>
        </w:tblPrEx>
        <w:trPr>
          <w:trHeight w:val="21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A40A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R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BF171" w14:textId="1342F33F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Recovered 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(immune for 6 months)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65C6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4215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01B6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—</w:t>
            </w:r>
          </w:p>
        </w:tc>
      </w:tr>
    </w:tbl>
    <w:p w14:paraId="6D28513F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lastRenderedPageBreak/>
        <w:t>In addition to epidemic state, each agent carries the following individual attributes:</w:t>
      </w:r>
    </w:p>
    <w:p w14:paraId="3EC1CC42" w14:textId="2515A3CC" w:rsidR="00884249" w:rsidRDefault="004175CC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residence</w:t>
      </w:r>
      <w:r w:rsidR="00000000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="00000000"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="00000000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center</w:t>
      </w:r>
      <w:r w:rsidR="00000000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, 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periphery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, dense periphery</w:t>
      </w:r>
      <w:r w:rsidR="00000000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:</w:t>
      </w:r>
      <w:r w:rsidR="00000000" w:rsidRPr="00B92DB4">
        <w:rPr>
          <w:rFonts w:ascii="Times New Roman" w:hAnsi="Times New Roman" w:cs="Times New Roman"/>
          <w:color w:val="000000" w:themeColor="text1"/>
          <w:lang w:val="en-US"/>
        </w:rPr>
        <w:t xml:space="preserve"> residential zone assigned at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initialization</w:t>
      </w:r>
      <w:r w:rsidR="00000000" w:rsidRPr="00B92DB4">
        <w:rPr>
          <w:rFonts w:ascii="Times New Roman" w:hAnsi="Times New Roman" w:cs="Times New Roman"/>
          <w:color w:val="000000" w:themeColor="text1"/>
          <w:lang w:val="en-US"/>
        </w:rPr>
        <w:t xml:space="preserve"> and fixed throughout</w:t>
      </w:r>
    </w:p>
    <w:p w14:paraId="60B403CE" w14:textId="36D36F86" w:rsidR="004175CC" w:rsidRPr="00B92DB4" w:rsidRDefault="004175CC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work_place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{center, periphery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, dense periphery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>
        <w:rPr>
          <w:rFonts w:ascii="Times New Roman" w:hAnsi="Times New Roman" w:cs="Times New Roman"/>
          <w:color w:val="000000" w:themeColor="text1"/>
          <w:lang w:val="en-US"/>
        </w:rPr>
        <w:t>work zone assigned as a function of residence</w:t>
      </w:r>
    </w:p>
    <w:p w14:paraId="2BC5C8E2" w14:textId="4CABE989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age_group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{adult, senior}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affects p_work_base and p_doc</w:t>
      </w:r>
    </w:p>
    <w:p w14:paraId="5DB855D3" w14:textId="1EC68CBF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transport_pref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{car, 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>ubahn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preferred mode when commuting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 xml:space="preserve"> to work</w:t>
      </w:r>
    </w:p>
    <w:p w14:paraId="03C163B0" w14:textId="3D309996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sensibilite_plan ~ Beta(α, β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)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individual responsiveness to the public health communication campaign; drawn once at initialisation from a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residence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-level prior</w:t>
      </w:r>
    </w:p>
    <w:p w14:paraId="2D19F6DC" w14:textId="4A7BAE7B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declared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="004175CC"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="004175CC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>0</w:t>
      </w:r>
      <w:r w:rsidR="004175CC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,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1</w:t>
      </w:r>
      <w:r w:rsidR="004175CC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: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a binary variable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capturing whether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the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individual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visits a doctor for the disease. The doctor always reports to the health ministry.</w:t>
      </w:r>
    </w:p>
    <w:p w14:paraId="582017EF" w14:textId="77777777" w:rsidR="00884249" w:rsidRPr="00B92DB4" w:rsidRDefault="00884249" w:rsidP="00B92DB4">
      <w:pPr>
        <w:spacing w:before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24306A3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2.3 Environment</w:t>
      </w:r>
    </w:p>
    <w:p w14:paraId="40627AC0" w14:textId="2B8E2C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spatial environment is a 100 × 100 grid partitioned into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zones. The urban core occupies the central 40 ×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40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cells;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a dense periphery occupies a 15 x 20 cells; the less dense periphery occupies the rest of the environment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. Agent density is set three times higher in the centre than in the suburbs,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 and five times higher in the dense periphery.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Each cell can host multiple agents; contacts occur among co-located agents and their Moore neighbourhood (radius r = 1).</w:t>
      </w:r>
    </w:p>
    <w:p w14:paraId="1D0BE1EE" w14:textId="77777777" w:rsidR="00884249" w:rsidRPr="00B92DB4" w:rsidRDefault="00884249" w:rsidP="00B92DB4">
      <w:pPr>
        <w:spacing w:before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BE73A8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2.4 Scales</w:t>
      </w:r>
    </w:p>
    <w:p w14:paraId="20BE4449" w14:textId="6189DD9C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Temporal resolution: 1 tick = 1 hour. Simulation horizon: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365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days (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8760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ticks).</w:t>
      </w:r>
    </w:p>
    <w:p w14:paraId="3E4E712C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Spatial resolution: 100 × 100 cells. </w:t>
      </w:r>
      <w:commentRangeStart w:id="0"/>
      <w:r w:rsidRPr="00B92DB4">
        <w:rPr>
          <w:rFonts w:ascii="Times New Roman" w:hAnsi="Times New Roman" w:cs="Times New Roman"/>
          <w:color w:val="000000" w:themeColor="text1"/>
          <w:lang w:val="en-US"/>
        </w:rPr>
        <w:t>Approximate real-world calibration: 1 cell ≈ 200 m × 200 m.</w:t>
      </w:r>
      <w:commentRangeEnd w:id="0"/>
      <w:r w:rsidR="00EB7764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0"/>
      </w:r>
    </w:p>
    <w:p w14:paraId="625877DA" w14:textId="045E698A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commentRangeStart w:id="1"/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Population size: N = 5 000 – 20 000 agents. Smaller N increases stochastic variance </w:t>
      </w:r>
      <w:commentRangeEnd w:id="1"/>
      <w:r w:rsidR="00EB7764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"/>
      </w:r>
    </w:p>
    <w:p w14:paraId="76FAE259" w14:textId="5059EE00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Observation schedule: aggregate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cases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updated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every 24 ticks (daily) for comparison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between real prevalence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surveillance data.</w:t>
      </w:r>
    </w:p>
    <w:p w14:paraId="11CA6FB7" w14:textId="77777777" w:rsidR="00884249" w:rsidRPr="00B92DB4" w:rsidRDefault="00884249" w:rsidP="00B92DB4">
      <w:pPr>
        <w:spacing w:before="12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1E2C6ADE" w14:textId="77777777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commentRangeStart w:id="2"/>
      <w:r w:rsidRPr="00B92DB4">
        <w:rPr>
          <w:rFonts w:ascii="Times New Roman" w:hAnsi="Times New Roman" w:cs="Times New Roman"/>
          <w:color w:val="000000" w:themeColor="text1"/>
          <w:lang w:val="en-US"/>
        </w:rPr>
        <w:t>3. Process Overview and Scheduling</w:t>
      </w:r>
    </w:p>
    <w:p w14:paraId="290C80A5" w14:textId="62B7F27C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At each hourly tick, the following sub-processes execute sequentially in the order listed. All stochastic decisions are drawn independently per agent</w:t>
      </w:r>
      <w:r w:rsidR="00FA3C65">
        <w:rPr>
          <w:rFonts w:ascii="Times New Roman" w:hAnsi="Times New Roman" w:cs="Times New Roman"/>
          <w:color w:val="000000" w:themeColor="text1"/>
          <w:lang w:val="en-US"/>
        </w:rPr>
        <w:t xml:space="preserve"> upon initialization.</w:t>
      </w:r>
    </w:p>
    <w:p w14:paraId="5FB0040B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7E980C7C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1 — Mobility decision (every tick)</w:t>
      </w:r>
    </w:p>
    <w:p w14:paraId="2A23DFDE" w14:textId="7FA2BBA6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Each agent decides whether to leave home. The probability of commuting depends on epidemic state and status of the health plan:</w:t>
      </w:r>
    </w:p>
    <w:p w14:paraId="3D501400" w14:textId="773B7CDE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Agents in states S, E, Iₐ, R draw a Bernoulli(p_work_base · f_plan) trial, where f_plan &lt; 1 if the health plan is active and the agent's sensibilit</w:t>
      </w:r>
      <w:r w:rsidR="00FA3C65">
        <w:rPr>
          <w:rFonts w:ascii="Times New Roman" w:hAnsi="Times New Roman" w:cs="Times New Roman"/>
          <w:color w:val="000000" w:themeColor="text1"/>
          <w:lang w:val="en-US"/>
        </w:rPr>
        <w:t>y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_plan exceeds a threshold.</w:t>
      </w:r>
    </w:p>
    <w:p w14:paraId="441C215C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Agents in state Iₛ draw Bernoulli(p_work_base · r_w), with r_w </w:t>
      </w:r>
      <w:r w:rsidRPr="00B92DB4">
        <w:rPr>
          <w:rFonts w:ascii="Cambria Math" w:hAnsi="Cambria Math" w:cs="Cambria Math"/>
          <w:color w:val="000000" w:themeColor="text1"/>
          <w:lang w:val="en-US"/>
        </w:rPr>
        <w:t>≪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1 reflecting self-isolation due to symptoms.</w:t>
      </w:r>
    </w:p>
    <w:p w14:paraId="0638ACB4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Agents who commute are assigned a transport mode: public transit (TC) or car, drawn from Bernoulli(transport_pref). Agents remaining at home are flagged mode = home.</w:t>
      </w:r>
    </w:p>
    <w:p w14:paraId="4746268B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9418254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2 — Transmission (every tick)</w:t>
      </w:r>
    </w:p>
    <w:p w14:paraId="1131B692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For each susceptible agent s at location (x, y), the effective force of infection is computed over all infectious neighbours within radius r = 1:</w:t>
      </w:r>
    </w:p>
    <w:p w14:paraId="3B35C1A7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i/>
          <w:iCs/>
          <w:color w:val="000000" w:themeColor="text1"/>
          <w:lang w:val="en-US"/>
        </w:rPr>
        <w:lastRenderedPageBreak/>
        <w:t>λₛ = Σᵢ β₀ · m_mode(i) · r_state(i) · (1 − εₛ · plan_active)</w:t>
      </w:r>
    </w:p>
    <w:p w14:paraId="1852E981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where m_mode is a transport multiplier (m_TC &gt; m_car &gt; m_home), r_state = 1 for Iₐ and r_s &lt; 1 for Iₛ (reduced outdoor mobility), and εₛ is the agent's individual compliance. Infection is drawn as Bernoulli(1 − exp(−λₛ · Δt)); upon infection, state S → E.</w:t>
      </w:r>
    </w:p>
    <w:p w14:paraId="3FD4B86E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5EB42123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3 — Epidemic state progression (every tick)</w:t>
      </w:r>
    </w:p>
    <w:p w14:paraId="3F681900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State transitions are governed by competing exponential clocks:</w:t>
      </w:r>
    </w:p>
    <w:p w14:paraId="1793F450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E → Iₐ with rate p · σ  |  E → Iₛ with rate (1 − p) · σ</w:t>
      </w:r>
    </w:p>
    <w:p w14:paraId="22105657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Iₐ → R with rate γₐ  |  Iₛ → R with rate γₛ</w:t>
      </w:r>
    </w:p>
    <w:p w14:paraId="67CD00B3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Each transition is tested as Bernoulli(1 − exp(−rate · Δt)) per tick. The parameters σ, γₐ, γₛ are fixed from epidemiological literature for the target pathogen; β₀ and p are inference targets.</w:t>
      </w:r>
    </w:p>
    <w:p w14:paraId="3EA0BC9A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3770372A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4 — Medical consultation and declaration (every 24 ticks)</w:t>
      </w:r>
    </w:p>
    <w:p w14:paraId="67010A37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Once per simulated day, each Iₛ agent draws Bernoulli(p_doc) to determine whether they consult a physician and declare their illness to health authorities. The parameter p_doc is an inference target. Declared cases accumulate in the counter n_declared(t), which drives the health plan trigger.</w:t>
      </w:r>
    </w:p>
    <w:p w14:paraId="2DF1D685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31BF6D6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5 — Health plan activation check (every 24 ticks)</w:t>
      </w:r>
    </w:p>
    <w:p w14:paraId="17D5E8E2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After declarations are updated, the model checks whether the declared prevalence π_dec(t) = n_declared(t) / N exceeds the trigger threshold θ. If π_dec(t) ≥ θ and the plan is not already active, plan_active is set to True. The health plan reduces effective β through the individual compliance term εᵢ ~ Beta(α_ε, β_ε), whose population-level mean ε̄ is an inference target.</w:t>
      </w:r>
    </w:p>
    <w:p w14:paraId="0453EA5D" w14:textId="77777777" w:rsidR="00884249" w:rsidRPr="00B92DB4" w:rsidRDefault="00884249" w:rsidP="00B92DB4">
      <w:pPr>
        <w:spacing w:before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252B778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Observation model (Bayesian layer)</w:t>
      </w:r>
    </w:p>
    <w:p w14:paraId="5A554D96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The ABM produces a latent epidemic trajectory. The observation model maps this to quantities comparable to real surveillance data:</w:t>
      </w:r>
    </w:p>
    <w:p w14:paraId="158E48EA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y_inc(t) = n_declared(t) − n_declared(t−1)  : daily reported incidence</w:t>
      </w:r>
    </w:p>
    <w:p w14:paraId="0E8FEF2F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y_peak = max_t y_inc(t)  : peak reported incidence</w:t>
      </w:r>
    </w:p>
    <w:p w14:paraId="42D79E10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y_t_peak = argmax_t y_inc(t)  : timing of reported peak</w:t>
      </w:r>
    </w:p>
    <w:p w14:paraId="64D7AA4C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These scalar summary statistics form the vector y_sim(θ) used in the ABC distance function d(y_sim, y_obs). The gap between true prevalence and π_dec is a structural feature of the model: it introduces a systematic bias that the Bayesian framework is designed to account for through the prior on p_doc.</w:t>
      </w:r>
      <w:commentRangeEnd w:id="2"/>
      <w:r w:rsidR="00712EB4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2"/>
      </w:r>
    </w:p>
    <w:p w14:paraId="1DED28E3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sectPr w:rsidR="00884249" w:rsidRPr="00B92DB4" w:rsidSect="00B92DB4">
      <w:footerReference w:type="default" r:id="rId11"/>
      <w:headerReference w:type="first" r:id="rId12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Grangier" w:date="2026-04-07T12:30:00Z" w:initials="AG">
    <w:p w14:paraId="01079486" w14:textId="77777777" w:rsidR="00EB7764" w:rsidRDefault="00EB7764" w:rsidP="00EB7764">
      <w:r>
        <w:rPr>
          <w:rStyle w:val="Marquedecommentaire"/>
        </w:rPr>
        <w:annotationRef/>
      </w:r>
      <w:r>
        <w:rPr>
          <w:sz w:val="20"/>
          <w:szCs w:val="20"/>
        </w:rPr>
        <w:t>to revise</w:t>
      </w:r>
    </w:p>
  </w:comment>
  <w:comment w:id="1" w:author="Alexis Grangier" w:date="2026-04-07T12:31:00Z" w:initials="AG">
    <w:p w14:paraId="35037620" w14:textId="77777777" w:rsidR="00FA3C65" w:rsidRDefault="00EB7764" w:rsidP="00FA3C65">
      <w:r>
        <w:rPr>
          <w:rStyle w:val="Marquedecommentaire"/>
        </w:rPr>
        <w:annotationRef/>
      </w:r>
      <w:r w:rsidR="00FA3C65">
        <w:rPr>
          <w:sz w:val="20"/>
          <w:szCs w:val="20"/>
        </w:rPr>
        <w:t>to revise as well</w:t>
      </w:r>
    </w:p>
  </w:comment>
  <w:comment w:id="2" w:author="Alexis Grangier" w:date="2026-04-07T12:39:00Z" w:initials="AG">
    <w:p w14:paraId="73676C74" w14:textId="77777777" w:rsidR="00712EB4" w:rsidRDefault="00712EB4" w:rsidP="00712EB4">
      <w:r>
        <w:rPr>
          <w:rStyle w:val="Marquedecommentaire"/>
        </w:rPr>
        <w:annotationRef/>
      </w:r>
      <w:r>
        <w:rPr>
          <w:sz w:val="20"/>
          <w:szCs w:val="20"/>
        </w:rPr>
        <w:t>I thought AI could help draw something coherent but it is not the case. This is a good base but doesn't reflect the behavior I want. I will finish this later today.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1079486" w15:done="0"/>
  <w15:commentEx w15:paraId="35037620" w15:done="0"/>
  <w15:commentEx w15:paraId="73676C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6B5B3D" w16cex:dateUtc="2026-04-07T10:30:00Z"/>
  <w16cex:commentExtensible w16cex:durableId="03B0B49A" w16cex:dateUtc="2026-04-07T10:31:00Z"/>
  <w16cex:commentExtensible w16cex:durableId="1AEA08F4" w16cex:dateUtc="2026-04-07T10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1079486" w16cid:durableId="566B5B3D"/>
  <w16cid:commentId w16cid:paraId="35037620" w16cid:durableId="03B0B49A"/>
  <w16cid:commentId w16cid:paraId="73676C74" w16cid:durableId="1AEA08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652A8" w14:textId="77777777" w:rsidR="00FD4D46" w:rsidRDefault="00FD4D46">
      <w:r>
        <w:separator/>
      </w:r>
    </w:p>
  </w:endnote>
  <w:endnote w:type="continuationSeparator" w:id="0">
    <w:p w14:paraId="0479D1CE" w14:textId="77777777" w:rsidR="00FD4D46" w:rsidRDefault="00FD4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D811E" w14:textId="77777777" w:rsidR="00884249" w:rsidRDefault="00000000">
    <w:pPr>
      <w:jc w:val="center"/>
    </w:pPr>
    <w:r>
      <w:rPr>
        <w:color w:val="888888"/>
        <w:sz w:val="18"/>
        <w:szCs w:val="18"/>
      </w:rPr>
      <w:t xml:space="preserve">ODD Protocol — Bayesian ABM of Urban Disease Transmission  |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D4AC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E9DB8" w14:textId="77777777" w:rsidR="00FD4D46" w:rsidRDefault="00FD4D46">
      <w:r>
        <w:separator/>
      </w:r>
    </w:p>
  </w:footnote>
  <w:footnote w:type="continuationSeparator" w:id="0">
    <w:p w14:paraId="2B25EA91" w14:textId="77777777" w:rsidR="00FD4D46" w:rsidRDefault="00FD4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5440" w14:textId="77777777" w:rsidR="00B92DB4" w:rsidRPr="009D4AC7" w:rsidRDefault="00B92DB4" w:rsidP="00B92DB4">
    <w:pPr>
      <w:pStyle w:val="En-tte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Alexis Grangier</w:t>
    </w:r>
    <w:r>
      <w:rPr>
        <w:rFonts w:ascii="Times New Roman" w:hAnsi="Times New Roman" w:cs="Times New Roman"/>
      </w:rPr>
      <w:t xml:space="preserve"> -- 229735</w:t>
    </w:r>
  </w:p>
  <w:p w14:paraId="675766BA" w14:textId="521A8926" w:rsidR="00B92DB4" w:rsidRPr="00B92DB4" w:rsidRDefault="00B92DB4">
    <w:pPr>
      <w:pStyle w:val="En-tte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Anna Jurek</w:t>
    </w:r>
    <w:r>
      <w:rPr>
        <w:rFonts w:ascii="Times New Roman" w:hAnsi="Times New Roman" w:cs="Times New Roman"/>
      </w:rPr>
      <w:t xml:space="preserve">        -- YOURSTUDENTI</w:t>
    </w:r>
    <w:r>
      <w:rPr>
        <w:rFonts w:ascii="Times New Roman" w:hAnsi="Times New Roman" w:cs="Times New Roman"/>
      </w:rPr>
      <w:t>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16BD"/>
    <w:multiLevelType w:val="hybridMultilevel"/>
    <w:tmpl w:val="699AB30E"/>
    <w:lvl w:ilvl="0" w:tplc="D83E471A">
      <w:start w:val="1"/>
      <w:numFmt w:val="bullet"/>
      <w:lvlText w:val="●"/>
      <w:lvlJc w:val="left"/>
      <w:pPr>
        <w:ind w:left="720" w:hanging="360"/>
      </w:pPr>
    </w:lvl>
    <w:lvl w:ilvl="1" w:tplc="095664A8">
      <w:start w:val="1"/>
      <w:numFmt w:val="bullet"/>
      <w:lvlText w:val="○"/>
      <w:lvlJc w:val="left"/>
      <w:pPr>
        <w:ind w:left="1440" w:hanging="360"/>
      </w:pPr>
    </w:lvl>
    <w:lvl w:ilvl="2" w:tplc="E63407CC">
      <w:start w:val="1"/>
      <w:numFmt w:val="bullet"/>
      <w:lvlText w:val="■"/>
      <w:lvlJc w:val="left"/>
      <w:pPr>
        <w:ind w:left="2160" w:hanging="360"/>
      </w:pPr>
    </w:lvl>
    <w:lvl w:ilvl="3" w:tplc="7B5E496A">
      <w:start w:val="1"/>
      <w:numFmt w:val="bullet"/>
      <w:lvlText w:val="●"/>
      <w:lvlJc w:val="left"/>
      <w:pPr>
        <w:ind w:left="2880" w:hanging="360"/>
      </w:pPr>
    </w:lvl>
    <w:lvl w:ilvl="4" w:tplc="D6446854">
      <w:start w:val="1"/>
      <w:numFmt w:val="bullet"/>
      <w:lvlText w:val="○"/>
      <w:lvlJc w:val="left"/>
      <w:pPr>
        <w:ind w:left="3600" w:hanging="360"/>
      </w:pPr>
    </w:lvl>
    <w:lvl w:ilvl="5" w:tplc="B5480C18">
      <w:start w:val="1"/>
      <w:numFmt w:val="bullet"/>
      <w:lvlText w:val="■"/>
      <w:lvlJc w:val="left"/>
      <w:pPr>
        <w:ind w:left="4320" w:hanging="360"/>
      </w:pPr>
    </w:lvl>
    <w:lvl w:ilvl="6" w:tplc="547801C8">
      <w:start w:val="1"/>
      <w:numFmt w:val="bullet"/>
      <w:lvlText w:val="●"/>
      <w:lvlJc w:val="left"/>
      <w:pPr>
        <w:ind w:left="5040" w:hanging="360"/>
      </w:pPr>
    </w:lvl>
    <w:lvl w:ilvl="7" w:tplc="A8288030">
      <w:start w:val="1"/>
      <w:numFmt w:val="bullet"/>
      <w:lvlText w:val="●"/>
      <w:lvlJc w:val="left"/>
      <w:pPr>
        <w:ind w:left="5760" w:hanging="360"/>
      </w:pPr>
    </w:lvl>
    <w:lvl w:ilvl="8" w:tplc="159456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EA4519"/>
    <w:multiLevelType w:val="hybridMultilevel"/>
    <w:tmpl w:val="0B5E770E"/>
    <w:lvl w:ilvl="0" w:tplc="F686F706">
      <w:start w:val="1"/>
      <w:numFmt w:val="bullet"/>
      <w:lvlText w:val="•"/>
      <w:lvlJc w:val="left"/>
      <w:pPr>
        <w:ind w:left="720" w:hanging="360"/>
      </w:pPr>
    </w:lvl>
    <w:lvl w:ilvl="1" w:tplc="52121322">
      <w:start w:val="1"/>
      <w:numFmt w:val="bullet"/>
      <w:lvlText w:val="◦"/>
      <w:lvlJc w:val="left"/>
      <w:pPr>
        <w:ind w:left="1080" w:hanging="360"/>
      </w:pPr>
    </w:lvl>
    <w:lvl w:ilvl="2" w:tplc="6D000FF0">
      <w:numFmt w:val="decimal"/>
      <w:lvlText w:val=""/>
      <w:lvlJc w:val="left"/>
    </w:lvl>
    <w:lvl w:ilvl="3" w:tplc="AFD4EC54">
      <w:numFmt w:val="decimal"/>
      <w:lvlText w:val=""/>
      <w:lvlJc w:val="left"/>
    </w:lvl>
    <w:lvl w:ilvl="4" w:tplc="DE0E74CA">
      <w:numFmt w:val="decimal"/>
      <w:lvlText w:val=""/>
      <w:lvlJc w:val="left"/>
    </w:lvl>
    <w:lvl w:ilvl="5" w:tplc="D00279A0">
      <w:numFmt w:val="decimal"/>
      <w:lvlText w:val=""/>
      <w:lvlJc w:val="left"/>
    </w:lvl>
    <w:lvl w:ilvl="6" w:tplc="7CF2B570">
      <w:numFmt w:val="decimal"/>
      <w:lvlText w:val=""/>
      <w:lvlJc w:val="left"/>
    </w:lvl>
    <w:lvl w:ilvl="7" w:tplc="FEBC30F8">
      <w:numFmt w:val="decimal"/>
      <w:lvlText w:val=""/>
      <w:lvlJc w:val="left"/>
    </w:lvl>
    <w:lvl w:ilvl="8" w:tplc="059ED418">
      <w:numFmt w:val="decimal"/>
      <w:lvlText w:val=""/>
      <w:lvlJc w:val="left"/>
    </w:lvl>
  </w:abstractNum>
  <w:num w:numId="1" w16cid:durableId="1850826724">
    <w:abstractNumId w:val="0"/>
    <w:lvlOverride w:ilvl="0">
      <w:startOverride w:val="1"/>
    </w:lvlOverride>
  </w:num>
  <w:num w:numId="2" w16cid:durableId="190626222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Grangier">
    <w15:presenceInfo w15:providerId="Windows Live" w15:userId="456a23bca55849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249"/>
    <w:rsid w:val="000A1ACF"/>
    <w:rsid w:val="00185126"/>
    <w:rsid w:val="002D5F67"/>
    <w:rsid w:val="002E35A5"/>
    <w:rsid w:val="004175CC"/>
    <w:rsid w:val="005064E2"/>
    <w:rsid w:val="00712EB4"/>
    <w:rsid w:val="00884249"/>
    <w:rsid w:val="009D4AC7"/>
    <w:rsid w:val="00B92DB4"/>
    <w:rsid w:val="00C32143"/>
    <w:rsid w:val="00EB7764"/>
    <w:rsid w:val="00FA3C65"/>
    <w:rsid w:val="00FD4D46"/>
    <w:rsid w:val="00FD6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530A25B"/>
  <w15:docId w15:val="{95287F7A-A912-4241-832C-AC0A5C482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D4AC7"/>
  </w:style>
  <w:style w:type="paragraph" w:styleId="Pieddepage">
    <w:name w:val="footer"/>
    <w:basedOn w:val="Normal"/>
    <w:link w:val="PieddepageCar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D4AC7"/>
  </w:style>
  <w:style w:type="character" w:styleId="Marquedecommentaire">
    <w:name w:val="annotation reference"/>
    <w:basedOn w:val="Policepardfaut"/>
    <w:uiPriority w:val="99"/>
    <w:semiHidden/>
    <w:unhideWhenUsed/>
    <w:rsid w:val="00EB7764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EB7764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EB7764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EB7764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EB776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983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Alexis Grangier</cp:lastModifiedBy>
  <cp:revision>2</cp:revision>
  <dcterms:created xsi:type="dcterms:W3CDTF">2026-04-07T10:47:00Z</dcterms:created>
  <dcterms:modified xsi:type="dcterms:W3CDTF">2026-04-07T10:47:00Z</dcterms:modified>
</cp:coreProperties>
</file>