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Система работы с книгами</w:t>
      </w:r>
    </w:p>
    <w:p>
      <w:pPr>
        <w:pStyle w:val="Subtitle"/>
      </w:pPr>
      <w:r>
        <w:t>От замысла до проверенного читательского файла</w:t>
      </w:r>
    </w:p>
    <w:p>
      <w:r>
        <w:t>Для ваших книг нужна единая система доказательств и версий. Самые дорогие ошибки текущего процесса возникают, когда удачная правка живёт только в одном файле, состояние героев переносится из другой книги, а справочник объявляет проверенным то, что изменилось в последнем DOCX. Новые скиллы устраняют эти разрывы и используют ваши литературные методики по назначению.</w:t>
      </w:r>
    </w:p>
    <w:p>
      <w:r>
        <w:t>В этом документе разобраны все предоставленные материалы как набор для организации работы, а также найденные материалы первой книги: окончательный DOCX, рабочий Markdown, профиль голоса и справочник серии. Другие произведения использованы только для инвентаризации и выборочного сопоставления голоса, не для полного литературного аудита. Полный редакторский разбор относится только к первой книге Риокки.</w:t>
      </w:r>
    </w:p>
    <w:p>
      <w:pPr>
        <w:pStyle w:val="Heading1"/>
      </w:pPr>
      <w:r>
        <w:t>1 Что есть в текущем наборе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2952"/>
        <w:gridCol w:w="4594"/>
      </w:tblGrid>
      <w:tr>
        <w:trPr>
          <w:cantSplit/>
          <w:tblHeader/>
        </w:trPr>
        <w:tc>
          <w:tcPr>
            <w:tcW w:type="dxa" w:w="2333"/>
            <w:vAlign w:val="center"/>
            <w:tcMar>
              <w:top w:w="80" w:type="dxa"/>
              <w:bottom w:w="80" w:type="dxa"/>
              <w:left w:w="100" w:type="dxa"/>
              <w:right w:w="100" w:type="dxa"/>
            </w:tcMar>
            <w:shd w:fill="E8EDF0"/>
          </w:tcPr>
          <w:p>
            <w:pPr>
              <w:keepNext w:val="0"/>
              <w:spacing w:after="20" w:before="20" w:line="259" w:lineRule="auto"/>
            </w:pPr>
            <w:r>
              <w:rPr>
                <w:b/>
                <w:sz w:val="20"/>
              </w:rPr>
              <w:t>Материал</w:t>
            </w:r>
          </w:p>
        </w:tc>
        <w:tc>
          <w:tcPr>
            <w:tcW w:type="dxa" w:w="2952"/>
            <w:vAlign w:val="center"/>
            <w:tcMar>
              <w:top w:w="80" w:type="dxa"/>
              <w:bottom w:w="80" w:type="dxa"/>
              <w:left w:w="100" w:type="dxa"/>
              <w:right w:w="100" w:type="dxa"/>
            </w:tcMar>
            <w:shd w:fill="E8EDF0"/>
          </w:tcPr>
          <w:p>
            <w:pPr>
              <w:keepNext w:val="0"/>
              <w:spacing w:after="20" w:before="20" w:line="259" w:lineRule="auto"/>
            </w:pPr>
            <w:r>
              <w:rPr>
                <w:b/>
                <w:sz w:val="20"/>
              </w:rPr>
              <w:t>Полезная роль</w:t>
            </w:r>
          </w:p>
        </w:tc>
        <w:tc>
          <w:tcPr>
            <w:tcW w:type="dxa" w:w="4594"/>
            <w:vAlign w:val="center"/>
            <w:tcMar>
              <w:top w:w="80" w:type="dxa"/>
              <w:bottom w:w="80" w:type="dxa"/>
              <w:left w:w="100" w:type="dxa"/>
              <w:right w:w="100" w:type="dxa"/>
            </w:tcMar>
            <w:shd w:fill="E8EDF0"/>
          </w:tcPr>
          <w:p>
            <w:pPr>
              <w:keepNext w:val="0"/>
              <w:spacing w:after="20" w:before="20" w:line="259" w:lineRule="auto"/>
            </w:pPr>
            <w:r>
              <w:rPr>
                <w:b/>
                <w:sz w:val="20"/>
              </w:rPr>
              <w:t>Что изменить в применении</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lore-bible.md</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Схема правил мира и канонического справочника</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Примеры внутри не считать фактами любой новой книги; заполнять с ID проекта и якорями</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ENTITY_STATE.yaml</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Идея отслеживания состояния сущностей</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Фактически описывает другой проект, «Разлад», с Марком Далем и другими сущностями; не использовать как состояние Риокки</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twist-engine.md</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Посевы, ложные объяснения, отдача раскрытий</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Реестр использованных приёмов отделить по произведениям; проценты и квоты считать эвристиками</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character-arc.md</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Вопросы к желаниям, потребности, слабости и изменениям</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Выбирать подходящую драматургическую линзу, не требовать одновременно всех схем</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ru-line-editor-SKILL.md</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Русская фраза, кальки, проверка сомнительных сочетаний</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Убрать вывод «нет в корпусе — значит калька»; оставить защиту метафоры и точный словарный вопрос</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qa-readability.md</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Многослойная проверка и главы как единицы покрытия</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Добавить контроль версии и знания; не требовать тождества состояний при смене POV/времени</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psychology-toolkit.md</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Мотивы, взаимодействия, способы осмысления поведения</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Использовать как литературные линзы; не превращать в диагнозы героям или автору</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ru_readability.py</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Формальные показатели и воспроизводимый расчёт</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Исправить ограничения извлечения/разбиения; не путать со скриптом qa_readability.py</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truby-22-steps.md</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Полная цепь драматургических вопросов</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Применять для поиска отсутствующего звена, не как обязательную разметку всех романов</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alex-beta-reader-SKILL.md</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Целостное чтение, обратная связь, несколько критериев</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Оценки и поправку −0,8 считать личной шкалой, не валидированной метрикой; три роли ИИ не равны трём читателям</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Куда улетают утки зимой</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Образец разговорного рассказчика, бытового юмора и финального переосмысления</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Хранить отдельно как произведение и выборку голоса, без импорта фактов в Риокку</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Логика хаоса</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Образец темы порядка и случайности, братского конфликта, философского обобщения</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Полезен для сравнения способов показать тезис действием; не переносить финальное эссе как норму каждой книги</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Рептилоиды</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Короткая форма, разговорная комика и резкий финальный переворот</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Образец конкретного режима юмора, а не эталон ритма длинного романа</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Космос не место для живых</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Напряжение, технологическая опасность, датированные эпизоды</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Отдельная хронология; образец проверки физической причинности</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История</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Диалог, бытовая сцена и философская полемика</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Проверять, когда персонаж действует, а когда становится голосом тезиса</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КОНТРАКТНИК 4 Почерк без имени</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Материал другого тома той же серии</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Исключить из текущего редакторского объекта; будущий текст не доказывает ясность первой книги</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Окончательный DOCX книги 1</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Главный источник текущего аудита</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Назначен автором; хранить хеш, результат извлечения и список принятых изменений</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Markdown книги 1</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Альтернативная рабочая редакция</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Сравнение разрешено, автоматический перенос обратно — нет; после выбора мастера сделать производной или архивной</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alex-voice-SKILL.md</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Более полный профиль авторского голоса</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Использовать наблюдаемые стилевые черты, не переносить частную биографию в общие скиллы</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SERIES BIBLE Контрактник Риокка</w:t>
            </w:r>
          </w:p>
        </w:tc>
        <w:tc>
          <w:tcPr>
            <w:tcW w:type="dxa" w:w="2952"/>
            <w:vAlign w:val="center"/>
            <w:tcMar>
              <w:top w:w="80" w:type="dxa"/>
              <w:bottom w:w="80" w:type="dxa"/>
              <w:left w:w="100" w:type="dxa"/>
              <w:right w:w="100" w:type="dxa"/>
            </w:tcMar>
          </w:tcPr>
          <w:p>
            <w:pPr>
              <w:keepNext w:val="0"/>
              <w:spacing w:after="20" w:before="20" w:line="259" w:lineRule="auto"/>
            </w:pPr>
            <w:r>
              <w:rPr>
                <w:b w:val="0"/>
                <w:sz w:val="20"/>
              </w:rPr>
              <w:t>Замысел серии и предполагаемое состояние конца тома</w:t>
            </w:r>
          </w:p>
        </w:tc>
        <w:tc>
          <w:tcPr>
            <w:tcW w:type="dxa" w:w="4594"/>
            <w:vAlign w:val="center"/>
            <w:tcMar>
              <w:top w:w="80" w:type="dxa"/>
              <w:bottom w:w="80" w:type="dxa"/>
              <w:left w:w="100" w:type="dxa"/>
              <w:right w:w="100" w:type="dxa"/>
            </w:tcMar>
          </w:tcPr>
          <w:p>
            <w:pPr>
              <w:keepNext w:val="0"/>
              <w:spacing w:after="20" w:before="20" w:line="259" w:lineRule="auto"/>
            </w:pPr>
            <w:r>
              <w:rPr>
                <w:b w:val="0"/>
                <w:sz w:val="20"/>
              </w:rPr>
              <w:t>Отделить намерения от фактов DOCX; исправить конкретные расхождения ниже</w:t>
            </w:r>
          </w:p>
        </w:tc>
      </w:tr>
    </w:tbl>
    <w:p>
      <w:pPr>
        <w:spacing w:after="20" w:before="0" w:line="240" w:lineRule="auto"/>
      </w:pPr>
      <w:r>
        <w:rPr>
          <w:sz w:val="4"/>
        </w:rPr>
      </w:r>
    </w:p>
    <w:p>
      <w:r>
        <w:t>Предоставленные локальные копии пяти других произведений оказались текстовыми представлениями, хотя некоторые имена оканчиваются на .docx. Это достаточно для указанного выборочного чтения, но не для выводов о вёрстке и истории редактирования исходных Word-файлов. Окончательный DOCX Риокки проверен как настоящий OOXML-файл.</w:t>
      </w:r>
    </w:p>
    <w:p>
      <w:r>
        <w:t>В доступном проверенном наборе не найден отдельный исполняемый qa_readability.py, на который ссылается методика. Это не ru_readability.py. Ссылки на отсутствующие инструменты нужно помечать как неразрешённые зависимости, а не считать их проверки автоматически выполненными. Отдельные WORLD и MOTIF_REGISTRY также не были получены как самостоятельные актуальные документы этой книги.</w:t>
      </w:r>
    </w:p>
    <w:p>
      <w:pPr>
        <w:pStyle w:val="Heading1"/>
      </w:pPr>
      <w:r>
        <w:t>2 Где процесс даёт ложную уверенность</w:t>
      </w:r>
    </w:p>
    <w:p>
      <w:pPr>
        <w:pStyle w:val="Heading2"/>
      </w:pPr>
      <w:r>
        <w:t>Статус справочника не подтверждает текст</w:t>
      </w:r>
    </w:p>
    <w:p>
      <w:r>
        <w:t>Справочник серии называет первый том написанным, отредактированным и прошедшим структурный аудит. Однако его состояние конца тома расходится с окончательным DOCX. Он полезен как документ намерений, но не может отменять фактический текст.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370"/>
        <w:gridCol w:w="4176"/>
      </w:tblGrid>
      <w:tr>
        <w:trPr>
          <w:cantSplit/>
          <w:tblHeader/>
        </w:trPr>
        <w:tc>
          <w:tcPr>
            <w:tcW w:type="dxa" w:w="2333"/>
            <w:vAlign w:val="center"/>
            <w:tcMar>
              <w:top w:w="80" w:type="dxa"/>
              <w:bottom w:w="80" w:type="dxa"/>
              <w:left w:w="100" w:type="dxa"/>
              <w:right w:w="100" w:type="dxa"/>
            </w:tcMar>
            <w:shd w:fill="E8EDF0"/>
          </w:tcPr>
          <w:p>
            <w:pPr>
              <w:keepNext w:val="0"/>
              <w:spacing w:after="20" w:before="20" w:line="259" w:lineRule="auto"/>
            </w:pPr>
            <w:r>
              <w:rPr>
                <w:b/>
                <w:sz w:val="20"/>
              </w:rPr>
              <w:t>Поле</w:t>
            </w:r>
          </w:p>
        </w:tc>
        <w:tc>
          <w:tcPr>
            <w:tcW w:type="dxa" w:w="3370"/>
            <w:vAlign w:val="center"/>
            <w:tcMar>
              <w:top w:w="80" w:type="dxa"/>
              <w:bottom w:w="80" w:type="dxa"/>
              <w:left w:w="100" w:type="dxa"/>
              <w:right w:w="100" w:type="dxa"/>
            </w:tcMar>
            <w:shd w:fill="E8EDF0"/>
          </w:tcPr>
          <w:p>
            <w:pPr>
              <w:keepNext w:val="0"/>
              <w:spacing w:after="20" w:before="20" w:line="259" w:lineRule="auto"/>
            </w:pPr>
            <w:r>
              <w:rPr>
                <w:b/>
                <w:sz w:val="20"/>
              </w:rPr>
              <w:t>В справочнике</w:t>
            </w:r>
          </w:p>
        </w:tc>
        <w:tc>
          <w:tcPr>
            <w:tcW w:type="dxa" w:w="4176"/>
            <w:vAlign w:val="center"/>
            <w:tcMar>
              <w:top w:w="80" w:type="dxa"/>
              <w:bottom w:w="80" w:type="dxa"/>
              <w:left w:w="100" w:type="dxa"/>
              <w:right w:w="100" w:type="dxa"/>
            </w:tcMar>
            <w:shd w:fill="E8EDF0"/>
          </w:tcPr>
          <w:p>
            <w:pPr>
              <w:keepNext w:val="0"/>
              <w:spacing w:after="20" w:before="20" w:line="259" w:lineRule="auto"/>
            </w:pPr>
            <w:r>
              <w:rPr>
                <w:b/>
                <w:sz w:val="20"/>
              </w:rPr>
              <w:t>В окончательном DOCX и нужное действие</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Седьмое правило</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Считается открытым крючком следующего тома</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P1240 раскрывает правило читателю; «не произнесено в диалоге» не равно «читатель не знает»</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Тимка</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Формулировка о том, что остался на новой колонии</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P1227–P1239: уезжает с Каем; переписать состояние буквально</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Число поселенцев</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54 на новой колонии</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49 спасены, Орен ушёл, плюс 5 = 53; Тимка уезжает, остаются 52</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Сообщение Рэя</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«Теперь поговорим»</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P1189: «Теперь поиграем»; синхронизировать цитату с DOCX</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Растение как рубильник</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Формулировка выглядит установленным правилом</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В тексте масштаб назван, но механизм ещё требует авторского решения</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Степень перемены Кая</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План требует дозировать разрушение убеждения по томам</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Первый том уже даёт явное самооткрытие; продолжение должно начинаться с достигнутого состояния</w:t>
            </w:r>
          </w:p>
        </w:tc>
      </w:tr>
    </w:tbl>
    <w:p>
      <w:pPr>
        <w:spacing w:after="20" w:before="0" w:line="240" w:lineRule="auto"/>
      </w:pPr>
      <w:r>
        <w:rPr>
          <w:sz w:val="4"/>
        </w:rPr>
      </w:r>
    </w:p>
    <w:p>
      <w:r>
        <w:t>Эти расхождения показывают необходимость конечного состояния с доказательствами. Ярлык «Т1 КАНОН» без главы и цитаты недостаточен. После принятой правки обновлять справочник из новой рукописи, а не править рукопись ради сохранения старого ярлыка.</w:t>
      </w:r>
    </w:p>
    <w:p>
      <w:pPr>
        <w:pStyle w:val="Heading2"/>
      </w:pPr>
      <w:r>
        <w:t>Что исправить в правилах редакторских скиллов</w:t>
      </w:r>
    </w:p>
    <w:p>
      <w:r>
        <w:t>Отсутствие фразы в поиске или корпусе — основание присмотреться, не доказательство кальки. Нужны контекст, значение, управление, наличие намеренного переноса. «Жесты заразны» может быть понятной метафорой без массовой корпусной частоты. Строгая автоматическая замена уничтожит часть вашего голоса.</w:t>
      </w:r>
    </w:p>
    <w:p>
      <w:r>
        <w:t>Равенство «состояние на выходе главы N = состояние на входе N+1» применимо только к непрерывному эпизоду. При смене POV, флешбэке и пропущенном времени нужны временные метки и события перехода. Иначе методика создаёт ложные ошибки и пропускает настоящие сбросы знания.</w:t>
      </w:r>
    </w:p>
    <w:p>
      <w:r>
        <w:t>Запрет на слово или образ нужно привязывать к сущности и ситуации. «Коробка» в речи Хана может означать его футляр разговорно; она не обязательно создаёт второй объект. «Дом» может сначала выражать идеологию Рэя, а позже — его зависимость. Важна функция конкретного употребления.</w:t>
      </w:r>
    </w:p>
    <w:p>
      <w:r>
        <w:t>Жёсткие нормы количества подсказок, точного процента твиста, числа психологических доз и обязательной длины предложения оставлять как контрольные вопросы. Литературная оценка не становится объективной от наличия числа. Полезнее доказанная сцена, чем оценка 8,2 с произвольной поправкой.</w:t>
      </w:r>
    </w:p>
    <w:p>
      <w:pPr>
        <w:pStyle w:val="Heading2"/>
      </w:pPr>
      <w:r>
        <w:t>Ограничения текущего скрипта читаемости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370"/>
        <w:gridCol w:w="4176"/>
      </w:tblGrid>
      <w:tr>
        <w:trPr>
          <w:cantSplit/>
          <w:tblHeader/>
        </w:trPr>
        <w:tc>
          <w:tcPr>
            <w:tcW w:type="dxa" w:w="2333"/>
            <w:vAlign w:val="center"/>
            <w:tcMar>
              <w:top w:w="80" w:type="dxa"/>
              <w:bottom w:w="80" w:type="dxa"/>
              <w:left w:w="100" w:type="dxa"/>
              <w:right w:w="100" w:type="dxa"/>
            </w:tcMar>
            <w:shd w:fill="E8EDF0"/>
          </w:tcPr>
          <w:p>
            <w:pPr>
              <w:keepNext w:val="0"/>
              <w:spacing w:after="20" w:before="20" w:line="259" w:lineRule="auto"/>
            </w:pPr>
            <w:r>
              <w:rPr>
                <w:b/>
                <w:sz w:val="20"/>
              </w:rPr>
              <w:t>Реализация ru_readability.py</w:t>
            </w:r>
          </w:p>
        </w:tc>
        <w:tc>
          <w:tcPr>
            <w:tcW w:type="dxa" w:w="3370"/>
            <w:vAlign w:val="center"/>
            <w:tcMar>
              <w:top w:w="80" w:type="dxa"/>
              <w:bottom w:w="80" w:type="dxa"/>
              <w:left w:w="100" w:type="dxa"/>
              <w:right w:w="100" w:type="dxa"/>
            </w:tcMar>
            <w:shd w:fill="E8EDF0"/>
          </w:tcPr>
          <w:p>
            <w:pPr>
              <w:keepNext w:val="0"/>
              <w:spacing w:after="20" w:before="20" w:line="259" w:lineRule="auto"/>
            </w:pPr>
            <w:r>
              <w:rPr>
                <w:b/>
                <w:sz w:val="20"/>
              </w:rPr>
              <w:t>Последствие</w:t>
            </w:r>
          </w:p>
        </w:tc>
        <w:tc>
          <w:tcPr>
            <w:tcW w:type="dxa" w:w="4176"/>
            <w:vAlign w:val="center"/>
            <w:tcMar>
              <w:top w:w="80" w:type="dxa"/>
              <w:bottom w:w="80" w:type="dxa"/>
              <w:left w:w="100" w:type="dxa"/>
              <w:right w:w="100" w:type="dxa"/>
            </w:tcMar>
            <w:shd w:fill="E8EDF0"/>
          </w:tcPr>
          <w:p>
            <w:pPr>
              <w:keepNext w:val="0"/>
              <w:spacing w:after="20" w:before="20" w:line="259" w:lineRule="auto"/>
            </w:pPr>
            <w:r>
              <w:rPr>
                <w:b/>
                <w:sz w:val="20"/>
              </w:rPr>
              <w:t>Рабочее решение</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Главы распознаются по «## Глава»</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Сырые заголовки DOCX не дают ожидаемой разбивки</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Извлекать заголовки и абзацы с указанием формата</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 считаются по символам</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Многоточие и ?! меняют среднюю длину</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Сегментация русского текста, например Razdel; метод фиксировать</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Считаются слова с русскими гласными</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Выпадают «в», «к», «с», числа и латиница</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Разделять лексический подсчёт и требования конкретной старой формулы</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При снятии Markdown удаляется содержимое обратных кавычек</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HUD и числа исчезают из анализа</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Снимать разметку, сохраняя видимый читателю текст</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Усредняются подходящие положительные индексы</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Итог зависит от отбора и создаёт ложную точность</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Показывать отдельные показатели, метод и ограничения</w:t>
            </w:r>
          </w:p>
        </w:tc>
      </w:tr>
    </w:tbl>
    <w:p>
      <w:pPr>
        <w:spacing w:after="20" w:before="0" w:line="240" w:lineRule="auto"/>
      </w:pPr>
      <w:r>
        <w:rPr>
          <w:sz w:val="4"/>
        </w:rPr>
      </w:r>
    </w:p>
    <w:p>
      <w:r>
        <w:t>Новый book_snapshot.py решает контроль источника, извлечение, привязку цитат и базовые счётчики. Он намеренно не выдаёт «возраст читателя» и не притворяется полной заменой морфологического или грамматического анализатора. Его простые пунктуационные сегменты также остаются приближением.</w:t>
      </w:r>
    </w:p>
    <w:p>
      <w:pPr>
        <w:pStyle w:val="Heading1"/>
      </w:pPr>
      <w:r>
        <w:t>3 Структура проекта</w:t>
      </w:r>
    </w:p>
    <w:p>
      <w:r>
        <w:t>Создавать минимально нужный набор и расширять по мере роста книги. Система должна помогать писать, а не требовать заполнить десятки пустых справочников до первой сцены.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370"/>
        <w:gridCol w:w="4176"/>
      </w:tblGrid>
      <w:tr>
        <w:trPr>
          <w:cantSplit/>
          <w:tblHeader/>
        </w:trPr>
        <w:tc>
          <w:tcPr>
            <w:tcW w:type="dxa" w:w="2333"/>
            <w:vAlign w:val="center"/>
            <w:tcMar>
              <w:top w:w="80" w:type="dxa"/>
              <w:bottom w:w="80" w:type="dxa"/>
              <w:left w:w="100" w:type="dxa"/>
              <w:right w:w="100" w:type="dxa"/>
            </w:tcMar>
            <w:shd w:fill="E8EDF0"/>
          </w:tcPr>
          <w:p>
            <w:pPr>
              <w:keepNext w:val="0"/>
              <w:spacing w:after="20" w:before="20" w:line="259" w:lineRule="auto"/>
            </w:pPr>
            <w:r>
              <w:rPr>
                <w:b/>
                <w:sz w:val="20"/>
              </w:rPr>
              <w:t>Область</w:t>
            </w:r>
          </w:p>
        </w:tc>
        <w:tc>
          <w:tcPr>
            <w:tcW w:type="dxa" w:w="3370"/>
            <w:vAlign w:val="center"/>
            <w:tcMar>
              <w:top w:w="80" w:type="dxa"/>
              <w:bottom w:w="80" w:type="dxa"/>
              <w:left w:w="100" w:type="dxa"/>
              <w:right w:w="100" w:type="dxa"/>
            </w:tcMar>
            <w:shd w:fill="E8EDF0"/>
          </w:tcPr>
          <w:p>
            <w:pPr>
              <w:keepNext w:val="0"/>
              <w:spacing w:after="20" w:before="20" w:line="259" w:lineRule="auto"/>
            </w:pPr>
            <w:r>
              <w:rPr>
                <w:b/>
                <w:sz w:val="20"/>
              </w:rPr>
              <w:t>Содержание</w:t>
            </w:r>
          </w:p>
        </w:tc>
        <w:tc>
          <w:tcPr>
            <w:tcW w:type="dxa" w:w="4176"/>
            <w:vAlign w:val="center"/>
            <w:tcMar>
              <w:top w:w="80" w:type="dxa"/>
              <w:bottom w:w="80" w:type="dxa"/>
              <w:left w:w="100" w:type="dxa"/>
              <w:right w:w="100" w:type="dxa"/>
            </w:tcMar>
            <w:shd w:fill="E8EDF0"/>
          </w:tcPr>
          <w:p>
            <w:pPr>
              <w:keepNext w:val="0"/>
              <w:spacing w:after="20" w:before="20" w:line="259" w:lineRule="auto"/>
            </w:pPr>
            <w:r>
              <w:rPr>
                <w:b/>
                <w:sz w:val="20"/>
              </w:rPr>
              <w:t>Что является источником истины</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Паспорт проекта</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ID серии и книги, стадия, мастер, формат, хеш, основание выбора</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Прямое решение автора</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Канон серии</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Правила, ограничения, география, глоссарий</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Факты текста с якорями; отдельно принятые будущие решения</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Замысел серии</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Открытые варианты и будущие тома</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План, явно помеченный как план</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План книги</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Обещание, арки, причинная карта, сцены, раскрытия</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Рабочая гипотеза до появления текста</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Рукопись</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Один редактируемый мастер</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В этой книге — окончательный DOCX</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Производные материалы</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Поисковый текст, метрики, карты абзацев</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Генерируются из мастера с его хешем</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Аудит</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Находки, доказательства, зависимости, решения</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Проверенное наблюдение, не свободный пересказ</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Отзывы</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Дословный отзыв, версия чтения, диагноз, ответ</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Опыт конкретного читателя и его прочитанный файл</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Выпуск</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Итоговый читательский файл и результаты проверок</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Повторно открытый и проверенный файл</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Состояние после тома</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Кто жив, где находится, что знает, чем владеет</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Последняя сцена и её подтверждённые последствия</w:t>
            </w:r>
          </w:p>
        </w:tc>
      </w:tr>
      <w:tr>
        <w:trPr>
          <w:cantSplit/>
        </w:trPr>
        <w:tc>
          <w:tcPr>
            <w:tcW w:type="dxa" w:w="2333"/>
            <w:vAlign w:val="center"/>
            <w:tcMar>
              <w:top w:w="80" w:type="dxa"/>
              <w:bottom w:w="80" w:type="dxa"/>
              <w:left w:w="100" w:type="dxa"/>
              <w:right w:w="100" w:type="dxa"/>
            </w:tcMar>
          </w:tcPr>
          <w:p>
            <w:pPr>
              <w:keepNext w:val="0"/>
              <w:spacing w:after="20" w:before="20" w:line="259" w:lineRule="auto"/>
            </w:pPr>
            <w:r>
              <w:rPr>
                <w:b w:val="0"/>
                <w:sz w:val="20"/>
              </w:rPr>
              <w:t>Архив</w:t>
            </w:r>
          </w:p>
        </w:tc>
        <w:tc>
          <w:tcPr>
            <w:tcW w:type="dxa" w:w="3370"/>
            <w:vAlign w:val="center"/>
            <w:tcMar>
              <w:top w:w="80" w:type="dxa"/>
              <w:bottom w:w="80" w:type="dxa"/>
              <w:left w:w="100" w:type="dxa"/>
              <w:right w:w="100" w:type="dxa"/>
            </w:tcMar>
          </w:tcPr>
          <w:p>
            <w:pPr>
              <w:keepNext w:val="0"/>
              <w:spacing w:after="20" w:before="20" w:line="259" w:lineRule="auto"/>
            </w:pPr>
            <w:r>
              <w:rPr>
                <w:b w:val="0"/>
                <w:sz w:val="20"/>
              </w:rPr>
              <w:t>Устаревшие редакции и решения</w:t>
            </w:r>
          </w:p>
        </w:tc>
        <w:tc>
          <w:tcPr>
            <w:tcW w:type="dxa" w:w="4176"/>
            <w:vAlign w:val="center"/>
            <w:tcMar>
              <w:top w:w="80" w:type="dxa"/>
              <w:bottom w:w="80" w:type="dxa"/>
              <w:left w:w="100" w:type="dxa"/>
              <w:right w:w="100" w:type="dxa"/>
            </w:tcMar>
          </w:tcPr>
          <w:p>
            <w:pPr>
              <w:keepNext w:val="0"/>
              <w:spacing w:after="20" w:before="20" w:line="259" w:lineRule="auto"/>
            </w:pPr>
            <w:r>
              <w:rPr>
                <w:b w:val="0"/>
                <w:sz w:val="20"/>
              </w:rPr>
              <w:t>История, явно отделённая от действующего текста</w:t>
            </w:r>
          </w:p>
        </w:tc>
      </w:tr>
    </w:tbl>
    <w:p>
      <w:pPr>
        <w:spacing w:after="20" w:before="0" w:line="240" w:lineRule="auto"/>
      </w:pPr>
      <w:r>
        <w:rPr>
          <w:sz w:val="4"/>
        </w:rPr>
      </w:r>
    </w:p>
    <w:p>
      <w:r>
        <w:t>Логически каждый том получает собственные plan, manuscript, derived, audit, feedback и end-state. Общие документы серии не подменяют эти записи. Не нужно физически переименовывать всю существующую папку, чтобы начать работать по этой структуре.</w:t>
      </w:r>
    </w:p>
    <w:p>
      <w:pPr>
        <w:pStyle w:val="Heading2"/>
      </w:pPr>
      <w:r>
        <w:t>Общая запись находки</w:t>
      </w:r>
    </w:p>
    <w:p>
      <w:r>
        <w:t>Каждая находка содержит: ID проекта и тома; хеш мастера; главу; абзац и точную цитату; категорию; важность; уверенность; наблюдение; эффект для читателя; предлагаемую правку; зависимые места; способ проверки; решение автора; фактический статус.</w:t>
      </w:r>
    </w:p>
    <w:p>
      <w:r>
        <w:t>Важность и уверенность независимы. Повреждённая угроза в главе 39 одновременно важна и очевидна. География тайника важна, но её диагноз менее уверен, потому что другой мир не назван прямо. Ощущение избытка метафор — редакторское суждение, даже если оно совпало у автора отзыва и редактора.</w:t>
      </w:r>
    </w:p>
    <w:p>
      <w:r>
        <w:t>Статусы правки: предложена → принята → применена → проверена. Отклонённая правка получает причину. Предложенный абзац с новым правилом мира нельзя записывать в канон до принятия и реализации.</w:t>
      </w:r>
    </w:p>
    <w:p>
      <w:pPr>
        <w:pStyle w:val="Heading2"/>
      </w:pPr>
      <w:r>
        <w:t>Карточка сцены</w:t>
      </w:r>
    </w:p>
    <w:p>
      <w:r>
        <w:t>Записывать POV, место и время, цель, препятствие, действие, результат, цену и изменившееся состояние. Для каждой переходящей вещи — кто принёс, кто передал и где оставил. Для каждой новой информации — кто узнал, откуда и насколько уверен. Для часов — точка отсчёта и конкретный дедлайн.</w:t>
      </w:r>
    </w:p>
    <w:p>
      <w:r>
        <w:t>Пример из этой книги: «49 спасены» — итог эвакуации; «48 в приёмном секторе» — местоположение людей; «52 остаются в колонии» — конечное решение. Система должна хранить три разных события, а не одно меняющееся поле «людей».</w:t>
      </w:r>
    </w:p>
    <w:p>
      <w:pPr>
        <w:pStyle w:val="Heading1"/>
      </w:pPr>
      <w:r>
        <w:t>4 Как писать следующую книгу</w:t>
      </w:r>
    </w:p>
    <w:p>
      <w:pPr>
        <w:pStyle w:val="Heading2"/>
      </w:pPr>
      <w:r>
        <w:t>До черновика</w:t>
      </w:r>
    </w:p>
    <w:p>
      <w:r>
        <w:t>Сначала сформулировать обещание читателю и вопрос, который будет закрыт именно в этом томе. Затем определить внешнюю цель героя, привычный способ её достигать, убеждение, которое создаёт цену, и ситуацию, где этот способ перестаёт работать. Нужен противник со своими средствами и пределами.</w:t>
      </w:r>
    </w:p>
    <w:p>
      <w:r>
        <w:t>Построить конец: какое решение герой принимает, кому оно стоит чего-то конкретного, что меняется в его поведении. Затем собрать причинную цепь сцен к этому решению. Мир описывать в той мере, в какой его правила ограничивают выбор, а не ради отдельной энциклопедии.</w:t>
      </w:r>
    </w:p>
    <w:p>
      <w:r>
        <w:t>До написания твиста завести три колонки: что произошло на самом деле; что знает герой; что успел увидеть читатель. Заранее отметить, какое раннее наблюдение после раскрытия получит новое значение. Не требовать одинакового числа подсказок для каждой тайны.</w:t>
      </w:r>
    </w:p>
    <w:p>
      <w:pPr>
        <w:pStyle w:val="Heading2"/>
      </w:pPr>
      <w:r>
        <w:t>Во время черновика</w:t>
      </w:r>
    </w:p>
    <w:p>
      <w:r>
        <w:t>Писать сценами, а не пытаться проверять каждую фразу всеми методиками сразу. После сцены обновлять только изменившиеся факты: люди, вещи, ресурсы, время, знания. Не проводить стилистическую полировку абзаца, функция которого ещё не определена.</w:t>
      </w:r>
    </w:p>
    <w:p>
      <w:r>
        <w:t>Для длинного проекта сохранять короткий журнал работы: прочитано/написано, выбранные решения, открытые вопросы, следующий шаг. Так «продолжай» будет означать продолжение конкретного состояния, а не повторный аудит случайной старой редакции.</w:t>
      </w:r>
    </w:p>
    <w:p>
      <w:pPr>
        <w:pStyle w:val="Heading2"/>
      </w:pPr>
      <w:r>
        <w:t>После черновика</w:t>
      </w:r>
    </w:p>
    <w:p>
      <w:r>
        <w:t>Первый проход отвечает, работает ли история и завершается ли обещанный конфликт. Второй — можно ли воспроизвести причинность, числа и знания. Третий — что читатель понимает и чувствует в конкретном месте. Четвёртый — язык и корректура. После значительной правки повторять зависимые проверки, а не автоматически весь набор с нуля.</w:t>
      </w:r>
    </w:p>
    <w:p>
      <w:r>
        <w:t>Чтение вслух ищет дыхание, повтор звуков и фразы, которые трудно произнести; бета ищет реальное непонимание и потерю интереса. Ни одна из этих проверок не заменяется графой «ИИ сыграл читателя». При необходимости независимого прохода давать проверяющему исходный текст и задачу, не собственные диагнозы.</w:t>
      </w:r>
    </w:p>
    <w:p>
      <w:pPr>
        <w:pStyle w:val="Heading2"/>
      </w:pPr>
      <w:r>
        <w:t>Выпуск</w:t>
      </w:r>
    </w:p>
    <w:p>
      <w:r>
        <w:t>Открыть итоговый файл в формате чтения, извлечь его заново и сверить принятые изменения. Проверить, что именно эту версию получит читатель. Обновить канон и конечное состояние из неё; производные тексты перегенерировать. Хеш нужен для обнаружения смены версии, а не как оценка качества.</w:t>
      </w:r>
    </w:p>
    <w:p>
      <w:pPr>
        <w:pStyle w:val="Heading1"/>
      </w:pPr>
      <w:r>
        <w:t>5 Три созданных скилла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6"/>
        <w:gridCol w:w="5256"/>
        <w:gridCol w:w="2376"/>
      </w:tblGrid>
      <w:tr>
        <w:trPr>
          <w:cantSplit/>
          <w:tblHeader/>
        </w:trPr>
        <w:tc>
          <w:tcPr>
            <w:tcW w:type="dxa" w:w="2246"/>
            <w:vAlign w:val="center"/>
            <w:tcMar>
              <w:top w:w="80" w:type="dxa"/>
              <w:bottom w:w="80" w:type="dxa"/>
              <w:left w:w="100" w:type="dxa"/>
              <w:right w:w="100" w:type="dxa"/>
            </w:tcMar>
            <w:shd w:fill="E8EDF0"/>
          </w:tcPr>
          <w:p>
            <w:pPr>
              <w:keepNext w:val="0"/>
              <w:spacing w:after="20" w:before="20" w:line="259" w:lineRule="auto"/>
            </w:pPr>
            <w:r>
              <w:rPr>
                <w:b/>
                <w:sz w:val="20"/>
              </w:rPr>
              <w:t>Скилл</w:t>
            </w:r>
          </w:p>
        </w:tc>
        <w:tc>
          <w:tcPr>
            <w:tcW w:type="dxa" w:w="5256"/>
            <w:vAlign w:val="center"/>
            <w:tcMar>
              <w:top w:w="80" w:type="dxa"/>
              <w:bottom w:w="80" w:type="dxa"/>
              <w:left w:w="100" w:type="dxa"/>
              <w:right w:w="100" w:type="dxa"/>
            </w:tcMar>
            <w:shd w:fill="E8EDF0"/>
          </w:tcPr>
          <w:p>
            <w:pPr>
              <w:keepNext w:val="0"/>
              <w:spacing w:after="20" w:before="20" w:line="259" w:lineRule="auto"/>
            </w:pPr>
            <w:r>
              <w:rPr>
                <w:b/>
                <w:sz w:val="20"/>
              </w:rPr>
              <w:t>Назначение</w:t>
            </w:r>
          </w:p>
        </w:tc>
        <w:tc>
          <w:tcPr>
            <w:tcW w:type="dxa" w:w="2376"/>
            <w:vAlign w:val="center"/>
            <w:tcMar>
              <w:top w:w="80" w:type="dxa"/>
              <w:bottom w:w="80" w:type="dxa"/>
              <w:left w:w="100" w:type="dxa"/>
              <w:right w:w="100" w:type="dxa"/>
            </w:tcMar>
            <w:shd w:fill="E8EDF0"/>
          </w:tcPr>
          <w:p>
            <w:pPr>
              <w:keepNext w:val="0"/>
              <w:spacing w:after="20" w:before="20" w:line="259" w:lineRule="auto"/>
            </w:pPr>
            <w:r>
              <w:rPr>
                <w:b/>
                <w:sz w:val="20"/>
              </w:rPr>
              <w:t>Статус</w:t>
            </w:r>
          </w:p>
        </w:tc>
      </w:tr>
      <w:tr>
        <w:trPr>
          <w:cantSplit/>
        </w:trPr>
        <w:tc>
          <w:tcPr>
            <w:tcW w:type="dxa" w:w="2246"/>
            <w:vAlign w:val="center"/>
            <w:tcMar>
              <w:top w:w="80" w:type="dxa"/>
              <w:bottom w:w="80" w:type="dxa"/>
              <w:left w:w="100" w:type="dxa"/>
              <w:right w:w="100" w:type="dxa"/>
            </w:tcMar>
          </w:tcPr>
          <w:p>
            <w:pPr>
              <w:keepNext w:val="0"/>
              <w:spacing w:after="20" w:before="20" w:line="259" w:lineRule="auto"/>
            </w:pPr>
            <w:hyperlink r:id="rId11">
              <w:r>
                <w:rPr>
                  <w:color w:val="215E80"/>
                  <w:u w:val="single"/>
                  <w:sz w:val="20"/>
                </w:rPr>
                <w:t>ru-book-architect</w:t>
              </w:r>
            </w:hyperlink>
          </w:p>
        </w:tc>
        <w:tc>
          <w:tcPr>
            <w:tcW w:type="dxa" w:w="5256"/>
            <w:vAlign w:val="center"/>
            <w:tcMar>
              <w:top w:w="80" w:type="dxa"/>
              <w:bottom w:w="80" w:type="dxa"/>
              <w:left w:w="100" w:type="dxa"/>
              <w:right w:w="100" w:type="dxa"/>
            </w:tcMar>
          </w:tcPr>
          <w:p>
            <w:pPr>
              <w:keepNext w:val="0"/>
              <w:spacing w:after="20" w:before="20" w:line="259" w:lineRule="auto"/>
            </w:pPr>
            <w:r>
              <w:rPr>
                <w:b w:val="0"/>
                <w:sz w:val="20"/>
              </w:rPr>
              <w:t>Структура проекта, канон, планирование и единый главный файл</w:t>
            </w:r>
          </w:p>
        </w:tc>
        <w:tc>
          <w:tcPr>
            <w:tcW w:type="dxa" w:w="2376"/>
            <w:vAlign w:val="center"/>
            <w:tcMar>
              <w:top w:w="80" w:type="dxa"/>
              <w:bottom w:w="80" w:type="dxa"/>
              <w:left w:w="100" w:type="dxa"/>
              <w:right w:w="100" w:type="dxa"/>
            </w:tcMar>
          </w:tcPr>
          <w:p>
            <w:pPr>
              <w:keepNext w:val="0"/>
              <w:spacing w:after="20" w:before="20" w:line="259" w:lineRule="auto"/>
            </w:pPr>
            <w:r>
              <w:rPr>
                <w:b w:val="0"/>
                <w:sz w:val="20"/>
              </w:rPr>
              <w:t>Создан и установлен</w:t>
            </w:r>
          </w:p>
        </w:tc>
      </w:tr>
      <w:tr>
        <w:trPr>
          <w:cantSplit/>
        </w:trPr>
        <w:tc>
          <w:tcPr>
            <w:tcW w:type="dxa" w:w="2246"/>
            <w:vAlign w:val="center"/>
            <w:tcMar>
              <w:top w:w="80" w:type="dxa"/>
              <w:bottom w:w="80" w:type="dxa"/>
              <w:left w:w="100" w:type="dxa"/>
              <w:right w:w="100" w:type="dxa"/>
            </w:tcMar>
          </w:tcPr>
          <w:p>
            <w:pPr>
              <w:keepNext w:val="0"/>
              <w:spacing w:after="20" w:before="20" w:line="259" w:lineRule="auto"/>
            </w:pPr>
            <w:hyperlink r:id="rId12">
              <w:r>
                <w:rPr>
                  <w:color w:val="215E80"/>
                  <w:u w:val="single"/>
                  <w:sz w:val="20"/>
                </w:rPr>
                <w:t>ru-book-auditor</w:t>
              </w:r>
            </w:hyperlink>
          </w:p>
        </w:tc>
        <w:tc>
          <w:tcPr>
            <w:tcW w:type="dxa" w:w="5256"/>
            <w:vAlign w:val="center"/>
            <w:tcMar>
              <w:top w:w="80" w:type="dxa"/>
              <w:bottom w:w="80" w:type="dxa"/>
              <w:left w:w="100" w:type="dxa"/>
              <w:right w:w="100" w:type="dxa"/>
            </w:tcMar>
          </w:tcPr>
          <w:p>
            <w:pPr>
              <w:keepNext w:val="0"/>
              <w:spacing w:after="20" w:before="20" w:line="259" w:lineRule="auto"/>
            </w:pPr>
            <w:r>
              <w:rPr>
                <w:b w:val="0"/>
                <w:sz w:val="20"/>
              </w:rPr>
              <w:t>Полный аудит по тексту, извлечение DOCX и проверка точных цитат</w:t>
            </w:r>
          </w:p>
        </w:tc>
        <w:tc>
          <w:tcPr>
            <w:tcW w:type="dxa" w:w="2376"/>
            <w:vAlign w:val="center"/>
            <w:tcMar>
              <w:top w:w="80" w:type="dxa"/>
              <w:bottom w:w="80" w:type="dxa"/>
              <w:left w:w="100" w:type="dxa"/>
              <w:right w:w="100" w:type="dxa"/>
            </w:tcMar>
          </w:tcPr>
          <w:p>
            <w:pPr>
              <w:keepNext w:val="0"/>
              <w:spacing w:after="20" w:before="20" w:line="259" w:lineRule="auto"/>
            </w:pPr>
            <w:r>
              <w:rPr>
                <w:b w:val="0"/>
                <w:sz w:val="20"/>
              </w:rPr>
              <w:t>Создан и установлен</w:t>
            </w:r>
          </w:p>
        </w:tc>
      </w:tr>
      <w:tr>
        <w:trPr>
          <w:cantSplit/>
        </w:trPr>
        <w:tc>
          <w:tcPr>
            <w:tcW w:type="dxa" w:w="2246"/>
            <w:vAlign w:val="center"/>
            <w:tcMar>
              <w:top w:w="80" w:type="dxa"/>
              <w:bottom w:w="80" w:type="dxa"/>
              <w:left w:w="100" w:type="dxa"/>
              <w:right w:w="100" w:type="dxa"/>
            </w:tcMar>
          </w:tcPr>
          <w:p>
            <w:pPr>
              <w:keepNext w:val="0"/>
              <w:spacing w:after="20" w:before="20" w:line="259" w:lineRule="auto"/>
            </w:pPr>
            <w:hyperlink r:id="rId13">
              <w:r>
                <w:rPr>
                  <w:color w:val="215E80"/>
                  <w:u w:val="single"/>
                  <w:sz w:val="20"/>
                </w:rPr>
                <w:t>ru-book-revision</w:t>
              </w:r>
            </w:hyperlink>
          </w:p>
        </w:tc>
        <w:tc>
          <w:tcPr>
            <w:tcW w:type="dxa" w:w="5256"/>
            <w:vAlign w:val="center"/>
            <w:tcMar>
              <w:top w:w="80" w:type="dxa"/>
              <w:bottom w:w="80" w:type="dxa"/>
              <w:left w:w="100" w:type="dxa"/>
              <w:right w:w="100" w:type="dxa"/>
            </w:tcMar>
          </w:tcPr>
          <w:p>
            <w:pPr>
              <w:keepNext w:val="0"/>
              <w:spacing w:after="20" w:before="20" w:line="259" w:lineRule="auto"/>
            </w:pPr>
            <w:r>
              <w:rPr>
                <w:b w:val="0"/>
                <w:sz w:val="20"/>
              </w:rPr>
              <w:t>Сверка отзывов, минимальные правки и проверка их последствий</w:t>
            </w:r>
          </w:p>
        </w:tc>
        <w:tc>
          <w:tcPr>
            <w:tcW w:type="dxa" w:w="2376"/>
            <w:vAlign w:val="center"/>
            <w:tcMar>
              <w:top w:w="80" w:type="dxa"/>
              <w:bottom w:w="80" w:type="dxa"/>
              <w:left w:w="100" w:type="dxa"/>
              <w:right w:w="100" w:type="dxa"/>
            </w:tcMar>
          </w:tcPr>
          <w:p>
            <w:pPr>
              <w:keepNext w:val="0"/>
              <w:spacing w:after="20" w:before="20" w:line="259" w:lineRule="auto"/>
            </w:pPr>
            <w:r>
              <w:rPr>
                <w:b w:val="0"/>
                <w:sz w:val="20"/>
              </w:rPr>
              <w:t>Создан и установлен</w:t>
            </w:r>
          </w:p>
        </w:tc>
      </w:tr>
    </w:tbl>
    <w:p>
      <w:pPr>
        <w:spacing w:after="20" w:before="0" w:line="240" w:lineRule="auto"/>
      </w:pPr>
      <w:r>
        <w:rPr>
          <w:sz w:val="4"/>
        </w:rPr>
      </w:r>
    </w:p>
    <w:p>
      <w:r>
        <w:t>Архитектор содержит схему проекта и заготовку манифеста. Аудитор — карту девяти проходов и исполняемый book_snapshot.py для извлечения и проверки якорей. Редактор отзыва — протокол превращения читательского опыта в адресную правку с защитой голоса. Модули дополняют ваши существующие методики; не требуется механически подключать все три для исправления одной опечатки.</w:t>
      </w:r>
    </w:p>
    <w:p>
      <w:pPr>
        <w:keepNext/>
      </w:pPr>
      <w:r>
        <w:t>Примеры запросов:</w:t>
      </w:r>
    </w:p>
    <w:p>
      <w:pPr>
        <w:pStyle w:val="Quote"/>
        <w:keepNext w:val="0"/>
      </w:pPr>
      <w:r>
        <w:t>Используй $ru-book-architect. Организуй новую книгу по этим материалам; отдели канон от планов и укажи, что нужно решить до черновика.</w:t>
      </w:r>
    </w:p>
    <w:p>
      <w:pPr>
        <w:pStyle w:val="Quote"/>
        <w:keepNext w:val="0"/>
      </w:pPr>
      <w:r>
        <w:t>Используй $ru-book-auditor. Главный файл — этот окончательный DOCX. Прочитай всю книгу, проверь причинность, числа, знания и все главы. Markdown — только для сравнения версий.</w:t>
      </w:r>
    </w:p>
    <w:p>
      <w:pPr>
        <w:pStyle w:val="Quote"/>
        <w:keepNext w:val="0"/>
      </w:pPr>
      <w:r>
        <w:t>Используй $ru-book-revision. Проверь этот отзыв по версии, которую читал человек. Дай точные места и минимальные совместимые правки; новые правила мира пометь как предложения.</w:t>
      </w:r>
    </w:p>
    <w:p>
      <w:r>
        <w:t>Проверка новых скиллов: формальная структура прошла валидацию; скрипт выполнен на настоящем DOCX из 42 глав; проверены отказы при изменении хеша, текстовой копии под именем DOCX и наличии рецензируемых изменений. Дополнительный независимый запуск нового аудитора на главах 35–39 обнаружил пять основных проблем и подтвердил 16 точных цитат без ошибок. Это проверка применимости на одном реальном фрагменте, не доказательство универсальной надёжности для любого романа.</w:t>
      </w:r>
    </w:p>
    <w:p>
      <w:pPr>
        <w:pStyle w:val="Heading1"/>
      </w:pPr>
      <w:r>
        <w:t>6 Репозитории которые помогут редактуре</w:t>
      </w:r>
    </w:p>
    <w:p>
      <w:r>
        <w:t>Ссылки и назначение проверены по официальным страницам проектов 12 сентября 2026 года. Ни один из перечисленных инструментов не был выдан за автоматически выполненную полную проверку рукописи. Для вашего процесса сначала полезны LanguageTool, Razdel и контроль версий/цитат; остальные добавляются по конкретной потребности.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974"/>
        <w:gridCol w:w="3888"/>
      </w:tblGrid>
      <w:tr>
        <w:trPr>
          <w:cantSplit/>
          <w:tblHeader/>
        </w:trPr>
        <w:tc>
          <w:tcPr>
            <w:tcW w:type="dxa" w:w="2016"/>
            <w:vAlign w:val="center"/>
            <w:tcMar>
              <w:top w:w="80" w:type="dxa"/>
              <w:bottom w:w="80" w:type="dxa"/>
              <w:left w:w="100" w:type="dxa"/>
              <w:right w:w="100" w:type="dxa"/>
            </w:tcMar>
            <w:shd w:fill="E8EDF0"/>
          </w:tcPr>
          <w:p>
            <w:pPr>
              <w:keepNext w:val="0"/>
              <w:spacing w:after="20" w:before="20" w:line="259" w:lineRule="auto"/>
            </w:pPr>
            <w:r>
              <w:rPr>
                <w:b/>
                <w:sz w:val="20"/>
              </w:rPr>
              <w:t>Проект</w:t>
            </w:r>
          </w:p>
        </w:tc>
        <w:tc>
          <w:tcPr>
            <w:tcW w:type="dxa" w:w="3974"/>
            <w:vAlign w:val="center"/>
            <w:tcMar>
              <w:top w:w="80" w:type="dxa"/>
              <w:bottom w:w="80" w:type="dxa"/>
              <w:left w:w="100" w:type="dxa"/>
              <w:right w:w="100" w:type="dxa"/>
            </w:tcMar>
            <w:shd w:fill="E8EDF0"/>
          </w:tcPr>
          <w:p>
            <w:pPr>
              <w:keepNext w:val="0"/>
              <w:spacing w:after="20" w:before="20" w:line="259" w:lineRule="auto"/>
            </w:pPr>
            <w:r>
              <w:rPr>
                <w:b/>
                <w:sz w:val="20"/>
              </w:rPr>
              <w:t>Для чего использовать</w:t>
            </w:r>
          </w:p>
        </w:tc>
        <w:tc>
          <w:tcPr>
            <w:tcW w:type="dxa" w:w="3888"/>
            <w:vAlign w:val="center"/>
            <w:tcMar>
              <w:top w:w="80" w:type="dxa"/>
              <w:bottom w:w="80" w:type="dxa"/>
              <w:left w:w="100" w:type="dxa"/>
              <w:right w:w="100" w:type="dxa"/>
            </w:tcMar>
            <w:shd w:fill="E8EDF0"/>
          </w:tcPr>
          <w:p>
            <w:pPr>
              <w:keepNext w:val="0"/>
              <w:spacing w:after="20" w:before="20" w:line="259" w:lineRule="auto"/>
            </w:pPr>
            <w:r>
              <w:rPr>
                <w:b/>
                <w:sz w:val="20"/>
              </w:rPr>
              <w:t>Граница возможностей</w:t>
            </w:r>
          </w:p>
        </w:tc>
      </w:tr>
      <w:tr>
        <w:trPr>
          <w:cantSplit/>
        </w:trPr>
        <w:tc>
          <w:tcPr>
            <w:tcW w:type="dxa" w:w="2016"/>
            <w:vAlign w:val="center"/>
            <w:tcMar>
              <w:top w:w="80" w:type="dxa"/>
              <w:bottom w:w="80" w:type="dxa"/>
              <w:left w:w="100" w:type="dxa"/>
              <w:right w:w="100" w:type="dxa"/>
            </w:tcMar>
          </w:tcPr>
          <w:p>
            <w:pPr>
              <w:keepNext w:val="0"/>
              <w:spacing w:after="20" w:before="20" w:line="259" w:lineRule="auto"/>
            </w:pPr>
            <w:hyperlink r:id="rId14">
              <w:r>
                <w:rPr>
                  <w:color w:val="215E80"/>
                  <w:u w:val="single"/>
                  <w:sz w:val="20"/>
                </w:rPr>
                <w:t>LanguageTool</w:t>
              </w:r>
            </w:hyperlink>
          </w:p>
        </w:tc>
        <w:tc>
          <w:tcPr>
            <w:tcW w:type="dxa" w:w="3974"/>
            <w:vAlign w:val="center"/>
            <w:tcMar>
              <w:top w:w="80" w:type="dxa"/>
              <w:bottom w:w="80" w:type="dxa"/>
              <w:left w:w="100" w:type="dxa"/>
              <w:right w:w="100" w:type="dxa"/>
            </w:tcMar>
          </w:tcPr>
          <w:p>
            <w:pPr>
              <w:keepNext w:val="0"/>
              <w:spacing w:after="20" w:before="20" w:line="259" w:lineRule="auto"/>
            </w:pPr>
            <w:r>
              <w:rPr>
                <w:b w:val="0"/>
                <w:sz w:val="20"/>
              </w:rPr>
              <w:t>Грамматика, пунктуационные и стилевые сигналы; русский поддерживается. Можно запускать собственный локальный сервер</w:t>
            </w:r>
          </w:p>
        </w:tc>
        <w:tc>
          <w:tcPr>
            <w:tcW w:type="dxa" w:w="3888"/>
            <w:vAlign w:val="center"/>
            <w:tcMar>
              <w:top w:w="80" w:type="dxa"/>
              <w:bottom w:w="80" w:type="dxa"/>
              <w:left w:w="100" w:type="dxa"/>
              <w:right w:w="100" w:type="dxa"/>
            </w:tcMar>
          </w:tcPr>
          <w:p>
            <w:pPr>
              <w:keepNext w:val="0"/>
              <w:spacing w:after="20" w:before="20" w:line="259" w:lineRule="auto"/>
            </w:pPr>
            <w:r>
              <w:rPr>
                <w:b w:val="0"/>
                <w:sz w:val="20"/>
              </w:rPr>
              <w:t>Проверяет языковые правила, не мотивы Орена и не арифметику спасения; замечания просматривать вручную</w:t>
            </w:r>
          </w:p>
        </w:tc>
      </w:tr>
      <w:tr>
        <w:trPr>
          <w:cantSplit/>
        </w:trPr>
        <w:tc>
          <w:tcPr>
            <w:tcW w:type="dxa" w:w="2016"/>
            <w:vAlign w:val="center"/>
            <w:tcMar>
              <w:top w:w="80" w:type="dxa"/>
              <w:bottom w:w="80" w:type="dxa"/>
              <w:left w:w="100" w:type="dxa"/>
              <w:right w:w="100" w:type="dxa"/>
            </w:tcMar>
          </w:tcPr>
          <w:p>
            <w:pPr>
              <w:keepNext w:val="0"/>
              <w:spacing w:after="20" w:before="20" w:line="259" w:lineRule="auto"/>
            </w:pPr>
            <w:hyperlink r:id="rId15">
              <w:r>
                <w:rPr>
                  <w:color w:val="215E80"/>
                  <w:u w:val="single"/>
                  <w:sz w:val="20"/>
                </w:rPr>
                <w:t>Razdel</w:t>
              </w:r>
            </w:hyperlink>
          </w:p>
        </w:tc>
        <w:tc>
          <w:tcPr>
            <w:tcW w:type="dxa" w:w="3974"/>
            <w:vAlign w:val="center"/>
            <w:tcMar>
              <w:top w:w="80" w:type="dxa"/>
              <w:bottom w:w="80" w:type="dxa"/>
              <w:left w:w="100" w:type="dxa"/>
              <w:right w:w="100" w:type="dxa"/>
            </w:tcMar>
          </w:tcPr>
          <w:p>
            <w:pPr>
              <w:keepNext w:val="0"/>
              <w:spacing w:after="20" w:before="20" w:line="259" w:lineRule="auto"/>
            </w:pPr>
            <w:r>
              <w:rPr>
                <w:b w:val="0"/>
                <w:sz w:val="20"/>
              </w:rPr>
              <w:t>Разбивка русского текста на предложения и токены; основа метрик по главам</w:t>
            </w:r>
          </w:p>
        </w:tc>
        <w:tc>
          <w:tcPr>
            <w:tcW w:type="dxa" w:w="3888"/>
            <w:vAlign w:val="center"/>
            <w:tcMar>
              <w:top w:w="80" w:type="dxa"/>
              <w:bottom w:w="80" w:type="dxa"/>
              <w:left w:w="100" w:type="dxa"/>
              <w:right w:w="100" w:type="dxa"/>
            </w:tcMar>
          </w:tcPr>
          <w:p>
            <w:pPr>
              <w:keepNext w:val="0"/>
              <w:spacing w:after="20" w:before="20" w:line="259" w:lineRule="auto"/>
            </w:pPr>
            <w:r>
              <w:rPr>
                <w:b w:val="0"/>
                <w:sz w:val="20"/>
              </w:rPr>
              <w:t>Разметка тоже допускает неоднозначность; средняя длина не оценивает художественное качество</w:t>
            </w:r>
          </w:p>
        </w:tc>
      </w:tr>
      <w:tr>
        <w:trPr>
          <w:cantSplit/>
        </w:trPr>
        <w:tc>
          <w:tcPr>
            <w:tcW w:type="dxa" w:w="2016"/>
            <w:vAlign w:val="center"/>
            <w:tcMar>
              <w:top w:w="80" w:type="dxa"/>
              <w:bottom w:w="80" w:type="dxa"/>
              <w:left w:w="100" w:type="dxa"/>
              <w:right w:w="100" w:type="dxa"/>
            </w:tcMar>
          </w:tcPr>
          <w:p>
            <w:pPr>
              <w:keepNext w:val="0"/>
              <w:spacing w:after="20" w:before="20" w:line="259" w:lineRule="auto"/>
            </w:pPr>
            <w:hyperlink r:id="rId16">
              <w:r>
                <w:rPr>
                  <w:color w:val="215E80"/>
                  <w:u w:val="single"/>
                  <w:sz w:val="20"/>
                </w:rPr>
                <w:t>pymorphy3</w:t>
              </w:r>
            </w:hyperlink>
          </w:p>
        </w:tc>
        <w:tc>
          <w:tcPr>
            <w:tcW w:type="dxa" w:w="3974"/>
            <w:vAlign w:val="center"/>
            <w:tcMar>
              <w:top w:w="80" w:type="dxa"/>
              <w:bottom w:w="80" w:type="dxa"/>
              <w:left w:w="100" w:type="dxa"/>
              <w:right w:w="100" w:type="dxa"/>
            </w:tcMar>
          </w:tcPr>
          <w:p>
            <w:pPr>
              <w:keepNext w:val="0"/>
              <w:spacing w:after="20" w:before="20" w:line="259" w:lineRule="auto"/>
            </w:pPr>
            <w:r>
              <w:rPr>
                <w:b w:val="0"/>
                <w:sz w:val="20"/>
              </w:rPr>
              <w:t>Сведение словоформ для поиска повторов, вариантов имён и словаря мира</w:t>
            </w:r>
          </w:p>
        </w:tc>
        <w:tc>
          <w:tcPr>
            <w:tcW w:type="dxa" w:w="3888"/>
            <w:vAlign w:val="center"/>
            <w:tcMar>
              <w:top w:w="80" w:type="dxa"/>
              <w:bottom w:w="80" w:type="dxa"/>
              <w:left w:w="100" w:type="dxa"/>
              <w:right w:w="100" w:type="dxa"/>
            </w:tcMar>
          </w:tcPr>
          <w:p>
            <w:pPr>
              <w:keepNext w:val="0"/>
              <w:spacing w:after="20" w:before="20" w:line="259" w:lineRule="auto"/>
            </w:pPr>
            <w:r>
              <w:rPr>
                <w:b w:val="0"/>
                <w:sz w:val="20"/>
              </w:rPr>
              <w:t>Омонимы и вымышленные названия требуют контекста; это анализатор, не редактор</w:t>
            </w:r>
          </w:p>
        </w:tc>
      </w:tr>
      <w:tr>
        <w:trPr>
          <w:cantSplit/>
        </w:trPr>
        <w:tc>
          <w:tcPr>
            <w:tcW w:type="dxa" w:w="2016"/>
            <w:vAlign w:val="center"/>
            <w:tcMar>
              <w:top w:w="80" w:type="dxa"/>
              <w:bottom w:w="80" w:type="dxa"/>
              <w:left w:w="100" w:type="dxa"/>
              <w:right w:w="100" w:type="dxa"/>
            </w:tcMar>
          </w:tcPr>
          <w:p>
            <w:pPr>
              <w:keepNext w:val="0"/>
              <w:spacing w:after="20" w:before="20" w:line="259" w:lineRule="auto"/>
            </w:pPr>
            <w:hyperlink r:id="rId17">
              <w:r>
                <w:rPr>
                  <w:color w:val="215E80"/>
                  <w:u w:val="single"/>
                  <w:sz w:val="20"/>
                </w:rPr>
                <w:t>Vale</w:t>
              </w:r>
            </w:hyperlink>
          </w:p>
        </w:tc>
        <w:tc>
          <w:tcPr>
            <w:tcW w:type="dxa" w:w="3974"/>
            <w:vAlign w:val="center"/>
            <w:tcMar>
              <w:top w:w="80" w:type="dxa"/>
              <w:bottom w:w="80" w:type="dxa"/>
              <w:left w:w="100" w:type="dxa"/>
              <w:right w:w="100" w:type="dxa"/>
            </w:tcMar>
          </w:tcPr>
          <w:p>
            <w:pPr>
              <w:keepNext w:val="0"/>
              <w:spacing w:after="20" w:before="20" w:line="259" w:lineRule="auto"/>
            </w:pPr>
            <w:r>
              <w:rPr>
                <w:b w:val="0"/>
                <w:sz w:val="20"/>
              </w:rPr>
              <w:t>Свои правила терминов, написаний, запретных технических дублей; работает локально</w:t>
            </w:r>
          </w:p>
        </w:tc>
        <w:tc>
          <w:tcPr>
            <w:tcW w:type="dxa" w:w="3888"/>
            <w:vAlign w:val="center"/>
            <w:tcMar>
              <w:top w:w="80" w:type="dxa"/>
              <w:bottom w:w="80" w:type="dxa"/>
              <w:left w:w="100" w:type="dxa"/>
              <w:right w:w="100" w:type="dxa"/>
            </w:tcMar>
          </w:tcPr>
          <w:p>
            <w:pPr>
              <w:keepNext w:val="0"/>
              <w:spacing w:after="20" w:before="20" w:line="259" w:lineRule="auto"/>
            </w:pPr>
            <w:r>
              <w:rPr>
                <w:b w:val="0"/>
                <w:sz w:val="20"/>
              </w:rPr>
              <w:t>Это настраиваемый линтер прозы, а не готовая проверка русской художественной грамматики</w:t>
            </w:r>
          </w:p>
        </w:tc>
      </w:tr>
      <w:tr>
        <w:trPr>
          <w:cantSplit/>
        </w:trPr>
        <w:tc>
          <w:tcPr>
            <w:tcW w:type="dxa" w:w="2016"/>
            <w:vAlign w:val="center"/>
            <w:tcMar>
              <w:top w:w="80" w:type="dxa"/>
              <w:bottom w:w="80" w:type="dxa"/>
              <w:left w:w="100" w:type="dxa"/>
              <w:right w:w="100" w:type="dxa"/>
            </w:tcMar>
          </w:tcPr>
          <w:p>
            <w:pPr>
              <w:keepNext w:val="0"/>
              <w:spacing w:after="20" w:before="20" w:line="259" w:lineRule="auto"/>
            </w:pPr>
            <w:hyperlink r:id="rId18">
              <w:r>
                <w:rPr>
                  <w:color w:val="215E80"/>
                  <w:u w:val="single"/>
                  <w:sz w:val="20"/>
                </w:rPr>
                <w:t>Pandoc</w:t>
              </w:r>
            </w:hyperlink>
          </w:p>
        </w:tc>
        <w:tc>
          <w:tcPr>
            <w:tcW w:type="dxa" w:w="3974"/>
            <w:vAlign w:val="center"/>
            <w:tcMar>
              <w:top w:w="80" w:type="dxa"/>
              <w:bottom w:w="80" w:type="dxa"/>
              <w:left w:w="100" w:type="dxa"/>
              <w:right w:w="100" w:type="dxa"/>
            </w:tcMar>
          </w:tcPr>
          <w:p>
            <w:pPr>
              <w:keepNext w:val="0"/>
              <w:spacing w:after="20" w:before="20" w:line="259" w:lineRule="auto"/>
            </w:pPr>
            <w:r>
              <w:rPr>
                <w:b w:val="0"/>
                <w:sz w:val="20"/>
              </w:rPr>
              <w:t>Производная текстовая выгрузка и конвертация форматов</w:t>
            </w:r>
          </w:p>
        </w:tc>
        <w:tc>
          <w:tcPr>
            <w:tcW w:type="dxa" w:w="3888"/>
            <w:vAlign w:val="center"/>
            <w:tcMar>
              <w:top w:w="80" w:type="dxa"/>
              <w:bottom w:w="80" w:type="dxa"/>
              <w:left w:w="100" w:type="dxa"/>
              <w:right w:w="100" w:type="dxa"/>
            </w:tcMar>
          </w:tcPr>
          <w:p>
            <w:pPr>
              <w:keepNext w:val="0"/>
              <w:spacing w:after="20" w:before="20" w:line="259" w:lineRule="auto"/>
            </w:pPr>
            <w:r>
              <w:rPr>
                <w:b w:val="0"/>
                <w:sz w:val="20"/>
              </w:rPr>
              <w:t>Не считать обратное преобразование гарантией сохранения всех деталей Word и не назначать выгрузку мастером</w:t>
            </w:r>
          </w:p>
        </w:tc>
      </w:tr>
      <w:tr>
        <w:trPr>
          <w:cantSplit/>
        </w:trPr>
        <w:tc>
          <w:tcPr>
            <w:tcW w:type="dxa" w:w="2016"/>
            <w:vAlign w:val="center"/>
            <w:tcMar>
              <w:top w:w="80" w:type="dxa"/>
              <w:bottom w:w="80" w:type="dxa"/>
              <w:left w:w="100" w:type="dxa"/>
              <w:right w:w="100" w:type="dxa"/>
            </w:tcMar>
          </w:tcPr>
          <w:p>
            <w:pPr>
              <w:keepNext w:val="0"/>
              <w:spacing w:after="20" w:before="20" w:line="259" w:lineRule="auto"/>
            </w:pPr>
            <w:hyperlink r:id="rId19">
              <w:r>
                <w:rPr>
                  <w:color w:val="215E80"/>
                  <w:u w:val="single"/>
                  <w:sz w:val="20"/>
                </w:rPr>
                <w:t>python docx</w:t>
              </w:r>
            </w:hyperlink>
          </w:p>
        </w:tc>
        <w:tc>
          <w:tcPr>
            <w:tcW w:type="dxa" w:w="3974"/>
            <w:vAlign w:val="center"/>
            <w:tcMar>
              <w:top w:w="80" w:type="dxa"/>
              <w:bottom w:w="80" w:type="dxa"/>
              <w:left w:w="100" w:type="dxa"/>
              <w:right w:w="100" w:type="dxa"/>
            </w:tcMar>
          </w:tcPr>
          <w:p>
            <w:pPr>
              <w:keepNext w:val="0"/>
              <w:spacing w:after="20" w:before="20" w:line="259" w:lineRule="auto"/>
            </w:pPr>
            <w:r>
              <w:rPr>
                <w:b w:val="0"/>
                <w:sz w:val="20"/>
              </w:rPr>
              <w:t>Программное чтение, создание и адресное изменение Word-документов</w:t>
            </w:r>
          </w:p>
        </w:tc>
        <w:tc>
          <w:tcPr>
            <w:tcW w:type="dxa" w:w="3888"/>
            <w:vAlign w:val="center"/>
            <w:tcMar>
              <w:top w:w="80" w:type="dxa"/>
              <w:bottom w:w="80" w:type="dxa"/>
              <w:left w:w="100" w:type="dxa"/>
              <w:right w:w="100" w:type="dxa"/>
            </w:tcMar>
          </w:tcPr>
          <w:p>
            <w:pPr>
              <w:keepNext w:val="0"/>
              <w:spacing w:after="20" w:before="20" w:line="259" w:lineRule="auto"/>
            </w:pPr>
            <w:r>
              <w:rPr>
                <w:b w:val="0"/>
                <w:sz w:val="20"/>
              </w:rPr>
              <w:t>Не исправляет содержание само; сохранение стилей, сложных объектов и итоговой вёрстки нужно проверять</w:t>
            </w:r>
          </w:p>
        </w:tc>
      </w:tr>
    </w:tbl>
    <w:p>
      <w:pPr>
        <w:spacing w:after="20" w:before="0" w:line="240" w:lineRule="auto"/>
      </w:pPr>
      <w:r>
        <w:rPr>
          <w:sz w:val="4"/>
        </w:rPr>
      </w:r>
    </w:p>
    <w:p>
      <w:r>
        <w:t xml:space="preserve">Поддержка языков LanguageTool описана в </w:t>
      </w:r>
      <w:hyperlink r:id="rId20">
        <w:r>
          <w:rPr>
            <w:color w:val="215E80"/>
            <w:u w:val="single"/>
          </w:rPr>
          <w:t>официальной документации</w:t>
        </w:r>
      </w:hyperlink>
      <w:r>
        <w:t xml:space="preserve">, собственный сервер — в </w:t>
      </w:r>
      <w:hyperlink r:id="rId21">
        <w:r>
          <w:rPr>
            <w:color w:val="215E80"/>
            <w:u w:val="single"/>
          </w:rPr>
          <w:t>руководстве разработчика</w:t>
        </w:r>
      </w:hyperlink>
      <w:r>
        <w:t xml:space="preserve">. Разработчики Razdel прямо отмечают неоднозначность некоторых способов сегментации и описывают оценку на корпусах новостей и художественных текстов в </w:t>
      </w:r>
      <w:hyperlink r:id="rId15">
        <w:r>
          <w:rPr>
            <w:color w:val="215E80"/>
            <w:u w:val="single"/>
          </w:rPr>
          <w:t>README проекта</w:t>
        </w:r>
      </w:hyperlink>
      <w:r>
        <w:t>.</w:t>
      </w:r>
    </w:p>
    <w:p>
      <w:r>
        <w:t>Моя рекомендация для вашей книги: локальный LanguageTool как ещё одна сетка для буквальных ошибок; Razdel вместо подсчёта каждого знака точки; pymorphy3 только для поиска словоформ повторов; Vale — после стабилизации глоссария. Это техническая оценка пригодности, не результат сравнительного теста всех продуктов на полном романе. Придумывать новые запреты для Vale до решения канона не стоит: иначе автоматизация закрепит ошибочную версию правил.</w:t>
      </w:r>
    </w:p>
    <w:p>
      <w:pPr>
        <w:pStyle w:val="Heading1"/>
      </w:pPr>
      <w:r>
        <w:t>7 Практическое состояние первой книги</w:t>
      </w:r>
    </w:p>
    <w:p>
      <w:r>
        <w:t>Главный источник зафиксирован как окончательный DOCX. Полный литературный отчёт и машиночитаемая карта созданы отдельно; рукопись не изменялась. Предложения по механизму прариокки, ограничениям транспорта и угрозе на «Затишье» остаются авторскими решениями, а не автоматически принятой редакцией канона.</w:t>
      </w:r>
    </w:p>
    <w:p>
      <w:r>
        <w:t>Сначала нужно закрыть критические узлы из аудита, затем обновить часы и группы, затем сократить повторные объяснения и выполнить корректуру. После внесения правок последняя проверка должна начинаться с нового DOCX — того самого файла, который пойдёт следующему читателю.</w:t>
      </w:r>
    </w:p>
    <w:sectPr w:rsidR="00FC693F" w:rsidRPr="0006063C" w:rsidSect="00034616">
      <w:headerReference w:type="default" r:id="rId9"/>
      <w:footerReference w:type="default" r:id="rId10"/>
      <w:pgSz w:w="12240" w:h="15840"/>
      <w:pgMar w:top="1123" w:right="1181" w:bottom="1080"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12 сентября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7"/>
      </w:rPr>
      <w:t>Система работы с книгами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rial" w:hAnsi="Arial"/>
      <w:b/>
      <w:bCs/>
      <w:i w:val="0"/>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rial" w:hAnsi="Arial"/>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i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Arial" w:hAnsi="Arial"/>
      <w:b/>
      <w:i w:val="0"/>
      <w:iCs/>
      <w:color w:val="000000"/>
      <w:spacing w:val="15"/>
      <w:sz w:val="3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Arial" w:hAnsi="Arial"/>
      <w:i w:val="0"/>
      <w:color w:val="000000"/>
      <w:u w:val="non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before="60" w:after="120"/>
      <w:ind w:left="317" w:right="230"/>
    </w:pPr>
    <w:rPr>
      <w:rFonts w:ascii="Arial" w:hAnsi="Arial"/>
      <w:i w:val="0"/>
      <w:iCs/>
      <w:color w:val="000000"/>
      <w:sz w:val="22"/>
      <w:u w:val="non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atgpt.com/skills?skill_id=6aa534e5d0608191ae606c84a11d6758" TargetMode="External"/><Relationship Id="rId12" Type="http://schemas.openxmlformats.org/officeDocument/2006/relationships/hyperlink" Target="https://chatgpt.com/skills?skill_id=6aa535bdf14c8191ae14cca617db86b6" TargetMode="External"/><Relationship Id="rId13" Type="http://schemas.openxmlformats.org/officeDocument/2006/relationships/hyperlink" Target="https://chatgpt.com/skills?skill_id=6aa536f90bfc8191ac58b64c4fa681d9" TargetMode="External"/><Relationship Id="rId14" Type="http://schemas.openxmlformats.org/officeDocument/2006/relationships/hyperlink" Target="https://github.com/languagetool-org/languagetool" TargetMode="External"/><Relationship Id="rId15" Type="http://schemas.openxmlformats.org/officeDocument/2006/relationships/hyperlink" Target="https://github.com/natasha/razdel" TargetMode="External"/><Relationship Id="rId16" Type="http://schemas.openxmlformats.org/officeDocument/2006/relationships/hyperlink" Target="https://github.com/no-plagiarism/pymorphy3" TargetMode="External"/><Relationship Id="rId17" Type="http://schemas.openxmlformats.org/officeDocument/2006/relationships/hyperlink" Target="https://github.com/vale-cli/vale" TargetMode="External"/><Relationship Id="rId18" Type="http://schemas.openxmlformats.org/officeDocument/2006/relationships/hyperlink" Target="https://github.com/jgm/pandoc" TargetMode="External"/><Relationship Id="rId19" Type="http://schemas.openxmlformats.org/officeDocument/2006/relationships/hyperlink" Target="https://github.com/python-openxml/python-docx" TargetMode="External"/><Relationship Id="rId20" Type="http://schemas.openxmlformats.org/officeDocument/2006/relationships/hyperlink" Target="https://dev.languagetool.org/languages" TargetMode="External"/><Relationship Id="rId21" Type="http://schemas.openxmlformats.org/officeDocument/2006/relationships/hyperlink" Target="https://dev.languagetool.org/http-serv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работы с книгами</dc:title>
  <dc:subject>Редакторский анализ и система работы по окончательному DOCX</dc:subject>
  <dc:creator>Редакторский разбор для автора</dc:creator>
  <cp:keywords/>
  <dc:description>generated by python-docx</dc:description>
  <cp:lastModifiedBy/>
  <cp:revision>1</cp:revision>
  <dcterms:created xsi:type="dcterms:W3CDTF">2013-12-23T23:15:00Z</dcterms:created>
  <dcterms:modified xsi:type="dcterms:W3CDTF">2013-12-23T23:15:00Z</dcterms:modified>
  <cp:category/>
</cp:coreProperties>
</file>