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0"/>
        <w:jc w:val="center"/>
      </w:pPr>
      <w:r>
        <w:rPr>
          <w:rFonts w:ascii="Liberation Sans" w:hAnsi="Liberation Sans"/>
          <w:b/>
          <w:color w:val="66727A"/>
          <w:sz w:val="22"/>
        </w:rPr>
        <w:t>ВИДАВНИЧИЙ ПАКЕТ</w:t>
      </w:r>
    </w:p>
    <w:p>
      <w:pPr>
        <w:pStyle w:val="Title"/>
        <w:jc w:val="center"/>
      </w:pPr>
      <w:r>
        <w:t>Верстка, переддрук і ТЗ друкарні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  <w:tblHeader/>
        </w:trPr>
        <w:tc>
          <w:tcPr>
            <w:tcW w:type="dxa" w:w="10166"/>
            <w:shd w:fill="2F4858"/>
            <w:tcMar>
              <w:top w:w="90" w:type="dxa"/>
              <w:start w:w="180" w:type="dxa"/>
              <w:bottom w:w="90" w:type="dxa"/>
              <w:end w:w="1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ВЕРСТКА + ДРУК</w:t>
            </w:r>
          </w:p>
        </w:tc>
      </w:tr>
    </w:tbl>
    <w:p>
      <w:pPr>
        <w:spacing w:before="400"/>
        <w:jc w:val="center"/>
      </w:pPr>
      <w:r>
        <w:rPr>
          <w:color w:val="66727A"/>
          <w:sz w:val="18"/>
        </w:rPr>
        <w:t>Україна · наукова фантастика · зріз джерел 19.09.2026</w:t>
        <w:br/>
        <w:t>Зріз GitHub: dbcce33456fa…</w:t>
      </w:r>
    </w:p>
    <w:p>
      <w:r>
        <w:br w:type="page"/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  <w:tblHeader/>
        </w:trPr>
        <w:tc>
          <w:tcPr>
            <w:tcW w:type="dxa" w:w="10166"/>
            <w:shd w:fill="F3F5F6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r>
              <w:rPr>
                <w:b/>
                <w:color w:val="2F4858"/>
                <w:sz w:val="21"/>
              </w:rPr>
              <w:t>Головний принцип</w:t>
              <w:br/>
              <w:t>Друкарня має останнє слово щодо технічного PDF, вильотів (bleed), ICC-профілю, корінця й допустимих фарб. Цей документ задає вимоги до результату; конкретні цифри, які залежать від обладнання, треба підтвердити письмово до експорту.</w:t>
            </w:r>
            <w:r>
              <w:rPr>
                <w:sz w:val="19"/>
              </w:rPr>
            </w:r>
          </w:p>
        </w:tc>
      </w:tr>
    </w:tbl>
    <w:p>
      <w:pPr>
        <w:spacing w:after="0"/>
      </w:pPr>
    </w:p>
    <w:p>
      <w:pPr>
        <w:pStyle w:val="Heading1"/>
      </w:pPr>
      <w:r>
        <w:t>1. Робочий формат художньої книги</w:t>
      </w:r>
    </w:p>
    <w:p>
      <w:pPr>
        <w:pStyle w:val="ListBullet"/>
      </w:pPr>
      <w:r>
        <w:t>Внутрішній блок: переважно 1+1 (чорний), без декоративного кольору як залежності змісту.</w:t>
      </w:r>
    </w:p>
    <w:p>
      <w:pPr>
        <w:pStyle w:val="ListBullet"/>
      </w:pPr>
      <w:r>
        <w:t>Формат: попросити видавця/друкарню порахувати 2–3 сценарії художньої прози (наприклад близько 130×200 / 140×210 мм), а не фіксувати формат до тестової верстки.</w:t>
      </w:r>
    </w:p>
    <w:p>
      <w:pPr>
        <w:pStyle w:val="ListBullet"/>
      </w:pPr>
      <w:r>
        <w:t>Папір: непрозорий некрейдований книжковий; фінальну щільність і пухкість вибирають разом із корінцем і читабельністю.</w:t>
      </w:r>
    </w:p>
    <w:p>
      <w:pPr>
        <w:pStyle w:val="ListBullet"/>
      </w:pPr>
      <w:r>
        <w:t>Палітурка: для серії важливі стабільний формат і корінець; тип палітурки визначити за бюджетом, накладом, обсягом і каналами продажу.</w:t>
      </w:r>
    </w:p>
    <w:p>
      <w:pPr>
        <w:pStyle w:val="ListBullet"/>
      </w:pPr>
      <w:r>
        <w:t>Обкладинка: 4+0 або за профілем друкарні; матова ламінація як базовий варіант, спецефекти лише якщо вони підтримують серію, а не замінюють дизайн.</w:t>
      </w:r>
    </w:p>
    <w:p>
      <w:pPr>
        <w:pStyle w:val="Heading1"/>
      </w:pPr>
      <w:r>
        <w:t>2. Типографіка й структура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cantSplit/>
          <w:tblHeader/>
        </w:trPr>
        <w:tc>
          <w:tcPr>
            <w:tcW w:type="dxa" w:w="3389"/>
            <w:shd w:fill="2F4858"/>
            <w:vAlign w:val="center"/>
          </w:tcPr>
          <w:p>
            <w:r>
              <w:rPr>
                <w:b/>
                <w:color w:val="FFFFFF"/>
                <w:sz w:val="17"/>
              </w:rPr>
              <w:t>Елемент</w:t>
            </w:r>
          </w:p>
        </w:tc>
        <w:tc>
          <w:tcPr>
            <w:tcW w:type="dxa" w:w="3389"/>
            <w:shd w:fill="2F4858"/>
            <w:vAlign w:val="center"/>
          </w:tcPr>
          <w:p>
            <w:r>
              <w:rPr>
                <w:b/>
                <w:color w:val="FFFFFF"/>
                <w:sz w:val="17"/>
              </w:rPr>
              <w:t>Рекомендований стиль</w:t>
            </w:r>
          </w:p>
        </w:tc>
        <w:tc>
          <w:tcPr>
            <w:tcW w:type="dxa" w:w="3389"/>
            <w:shd w:fill="2F4858"/>
            <w:vAlign w:val="center"/>
          </w:tcPr>
          <w:p>
            <w:r>
              <w:rPr>
                <w:b/>
                <w:color w:val="FFFFFF"/>
                <w:sz w:val="17"/>
              </w:rPr>
              <w:t>Контроль</w:t>
            </w:r>
          </w:p>
        </w:tc>
      </w:tr>
      <w:tr>
        <w:trPr>
          <w:cantSplit/>
        </w:trPr>
        <w:tc>
          <w:tcPr>
            <w:tcW w:type="dxa" w:w="3389"/>
            <w:vAlign w:val="top"/>
          </w:tcPr>
          <w:p>
            <w:r>
              <w:rPr>
                <w:sz w:val="17"/>
              </w:rPr>
              <w:t>Основний текст</w:t>
            </w:r>
          </w:p>
        </w:tc>
        <w:tc>
          <w:tcPr>
            <w:tcW w:type="dxa" w:w="3389"/>
            <w:vAlign w:val="top"/>
          </w:tcPr>
          <w:p>
            <w:r>
              <w:rPr>
                <w:sz w:val="17"/>
              </w:rPr>
              <w:t>серіфний шрифт 9.5–11 pt, комфортний інтерліньяж</w:t>
            </w:r>
          </w:p>
        </w:tc>
        <w:tc>
          <w:tcPr>
            <w:tcW w:type="dxa" w:w="3389"/>
            <w:vAlign w:val="top"/>
          </w:tcPr>
          <w:p>
            <w:r>
              <w:rPr>
                <w:sz w:val="17"/>
              </w:rPr>
              <w:t>реальна проба на папері; не оцінювати лише на 27” моніторі</w:t>
            </w:r>
          </w:p>
        </w:tc>
      </w:tr>
      <w:tr>
        <w:trPr>
          <w:cantSplit/>
        </w:trPr>
        <w:tc>
          <w:tcPr>
            <w:tcW w:type="dxa" w:w="3389"/>
            <w:vAlign w:val="top"/>
          </w:tcPr>
          <w:p>
            <w:r>
              <w:rPr>
                <w:sz w:val="17"/>
              </w:rPr>
              <w:t>Розділ</w:t>
            </w:r>
          </w:p>
        </w:tc>
        <w:tc>
          <w:tcPr>
            <w:tcW w:type="dxa" w:w="3389"/>
            <w:vAlign w:val="top"/>
          </w:tcPr>
          <w:p>
            <w:r>
              <w:rPr>
                <w:sz w:val="17"/>
              </w:rPr>
              <w:t>нова сторінка або стабільний вертикальний ритм</w:t>
            </w:r>
          </w:p>
        </w:tc>
        <w:tc>
          <w:tcPr>
            <w:tcW w:type="dxa" w:w="3389"/>
            <w:vAlign w:val="top"/>
          </w:tcPr>
          <w:p>
            <w:r>
              <w:rPr>
                <w:sz w:val="17"/>
              </w:rPr>
              <w:t>не лишати заголовок останнім рядком сторінки</w:t>
            </w:r>
          </w:p>
        </w:tc>
      </w:tr>
      <w:tr>
        <w:trPr>
          <w:cantSplit/>
        </w:trPr>
        <w:tc>
          <w:tcPr>
            <w:tcW w:type="dxa" w:w="3389"/>
            <w:vAlign w:val="top"/>
          </w:tcPr>
          <w:p>
            <w:r>
              <w:rPr>
                <w:sz w:val="17"/>
              </w:rPr>
              <w:t>Частина</w:t>
            </w:r>
          </w:p>
        </w:tc>
        <w:tc>
          <w:tcPr>
            <w:tcW w:type="dxa" w:w="3389"/>
            <w:vAlign w:val="top"/>
          </w:tcPr>
          <w:p>
            <w:r>
              <w:rPr>
                <w:sz w:val="17"/>
              </w:rPr>
              <w:t>окремий титульний розворот/сторінка</w:t>
            </w:r>
          </w:p>
        </w:tc>
        <w:tc>
          <w:tcPr>
            <w:tcW w:type="dxa" w:w="3389"/>
            <w:vAlign w:val="top"/>
          </w:tcPr>
          <w:p>
            <w:r>
              <w:rPr>
                <w:sz w:val="17"/>
              </w:rPr>
              <w:t>важливо для «Есквайра» та «Того, кого читають»</w:t>
            </w:r>
          </w:p>
        </w:tc>
      </w:tr>
      <w:tr>
        <w:trPr>
          <w:cantSplit/>
        </w:trPr>
        <w:tc>
          <w:tcPr>
            <w:tcW w:type="dxa" w:w="3389"/>
            <w:vAlign w:val="top"/>
          </w:tcPr>
          <w:p>
            <w:r>
              <w:rPr>
                <w:sz w:val="17"/>
              </w:rPr>
              <w:t>Службові рядки / маніфести</w:t>
            </w:r>
          </w:p>
        </w:tc>
        <w:tc>
          <w:tcPr>
            <w:tcW w:type="dxa" w:w="3389"/>
            <w:vAlign w:val="top"/>
          </w:tcPr>
          <w:p>
            <w:r>
              <w:rPr>
                <w:sz w:val="17"/>
              </w:rPr>
              <w:t>окремий акцидентний стиль, але читабельний</w:t>
            </w:r>
          </w:p>
        </w:tc>
        <w:tc>
          <w:tcPr>
            <w:tcW w:type="dxa" w:w="3389"/>
            <w:vAlign w:val="top"/>
          </w:tcPr>
          <w:p>
            <w:r>
              <w:rPr>
                <w:sz w:val="17"/>
              </w:rPr>
              <w:t>не перетворювати на скрін UI; це проза</w:t>
            </w:r>
          </w:p>
        </w:tc>
      </w:tr>
      <w:tr>
        <w:trPr>
          <w:cantSplit/>
        </w:trPr>
        <w:tc>
          <w:tcPr>
            <w:tcW w:type="dxa" w:w="3389"/>
            <w:vAlign w:val="top"/>
          </w:tcPr>
          <w:p>
            <w:r>
              <w:rPr>
                <w:sz w:val="17"/>
              </w:rPr>
              <w:t>Епіграфи «Бюро»</w:t>
            </w:r>
          </w:p>
        </w:tc>
        <w:tc>
          <w:tcPr>
            <w:tcW w:type="dxa" w:w="3389"/>
            <w:vAlign w:val="top"/>
          </w:tcPr>
          <w:p>
            <w:r>
              <w:rPr>
                <w:sz w:val="17"/>
              </w:rPr>
              <w:t>окремий стиль епіграфа</w:t>
            </w:r>
          </w:p>
        </w:tc>
        <w:tc>
          <w:tcPr>
            <w:tcW w:type="dxa" w:w="3389"/>
            <w:vAlign w:val="top"/>
          </w:tcPr>
          <w:p>
            <w:r>
              <w:rPr>
                <w:sz w:val="17"/>
              </w:rPr>
              <w:t>не змішувати з цитатами персонажів</w:t>
            </w:r>
          </w:p>
        </w:tc>
      </w:tr>
      <w:tr>
        <w:trPr>
          <w:cantSplit/>
        </w:trPr>
        <w:tc>
          <w:tcPr>
            <w:tcW w:type="dxa" w:w="3389"/>
            <w:vAlign w:val="top"/>
          </w:tcPr>
          <w:p>
            <w:r>
              <w:rPr>
                <w:sz w:val="17"/>
              </w:rPr>
              <w:t>Розрив сцени</w:t>
            </w:r>
          </w:p>
        </w:tc>
        <w:tc>
          <w:tcPr>
            <w:tcW w:type="dxa" w:w="3389"/>
            <w:vAlign w:val="top"/>
          </w:tcPr>
          <w:p>
            <w:r>
              <w:rPr>
                <w:sz w:val="17"/>
              </w:rPr>
              <w:t>один затверджений знак на книгу/серію</w:t>
            </w:r>
          </w:p>
        </w:tc>
        <w:tc>
          <w:tcPr>
            <w:tcW w:type="dxa" w:w="3389"/>
            <w:vAlign w:val="top"/>
          </w:tcPr>
          <w:p>
            <w:r>
              <w:rPr>
                <w:sz w:val="17"/>
              </w:rPr>
              <w:t>не губити при конвертації DOCX→верстка</w:t>
            </w:r>
          </w:p>
        </w:tc>
      </w:tr>
      <w:tr>
        <w:trPr>
          <w:cantSplit/>
        </w:trPr>
        <w:tc>
          <w:tcPr>
            <w:tcW w:type="dxa" w:w="3389"/>
            <w:vAlign w:val="top"/>
          </w:tcPr>
          <w:p>
            <w:r>
              <w:rPr>
                <w:sz w:val="17"/>
              </w:rPr>
              <w:t>Коди / епілоги</w:t>
            </w:r>
          </w:p>
        </w:tc>
        <w:tc>
          <w:tcPr>
            <w:tcW w:type="dxa" w:w="3389"/>
            <w:vAlign w:val="top"/>
          </w:tcPr>
          <w:p>
            <w:r>
              <w:rPr>
                <w:sz w:val="17"/>
              </w:rPr>
              <w:t>самостійна ієрархія</w:t>
            </w:r>
          </w:p>
        </w:tc>
        <w:tc>
          <w:tcPr>
            <w:tcW w:type="dxa" w:w="3389"/>
            <w:vAlign w:val="top"/>
          </w:tcPr>
          <w:p>
            <w:r>
              <w:rPr>
                <w:sz w:val="17"/>
              </w:rPr>
              <w:t>не автоматично перейменовувати на «розділи»</w:t>
            </w:r>
          </w:p>
        </w:tc>
      </w:tr>
    </w:tbl>
    <w:p>
      <w:pPr>
        <w:pStyle w:val="Heading1"/>
      </w:pPr>
      <w:r>
        <w:t>3. Переддрукова перевірка PDF</w:t>
      </w:r>
    </w:p>
    <w:p>
      <w:pPr>
        <w:pStyle w:val="ListBullet"/>
      </w:pPr>
      <w:r>
        <w:t>Усі шрифти вбудовані.</w:t>
      </w:r>
    </w:p>
    <w:p>
      <w:pPr>
        <w:pStyle w:val="ListBullet"/>
      </w:pPr>
      <w:r>
        <w:t>Чорний текст — за вимогою друкарні; не робити дрібний текст складений чорний без потреби.</w:t>
      </w:r>
    </w:p>
    <w:p>
      <w:pPr>
        <w:pStyle w:val="ListBullet"/>
      </w:pPr>
      <w:r>
        <w:t>Растрові зображення достатньої ефективної роздільності; профіль CMYK/конвертацію узгодити з друкарнею.</w:t>
      </w:r>
    </w:p>
    <w:p>
      <w:pPr>
        <w:pStyle w:val="ListBullet"/>
      </w:pPr>
      <w:r>
        <w:t>Випуски під обріз, формат обрізу й безпечна зона — рівно за технічним шаблоном друкарні.</w:t>
      </w:r>
    </w:p>
    <w:p>
      <w:pPr>
        <w:pStyle w:val="ListBullet"/>
      </w:pPr>
      <w:r>
        <w:t>Повний розгорт обкладинки збирати тільки після фінальної кількості сторінок, паперу й технології скріплення.</w:t>
      </w:r>
    </w:p>
    <w:p>
      <w:pPr>
        <w:pStyle w:val="ListBullet"/>
      </w:pPr>
      <w:r>
        <w:t>Штрихкод/ISBN перевірити сканером на фінальній пробі.</w:t>
      </w:r>
    </w:p>
    <w:p>
      <w:pPr>
        <w:pStyle w:val="ListBullet"/>
      </w:pPr>
      <w:r>
        <w:t>Перевірити накладання фарб (overprint), прозорості, тонкі лінії, випадкові RGB-об’єкти, висячі рядки, порожні сторінки та порядок парних/непарних сторінок.</w:t>
      </w:r>
    </w:p>
    <w:p>
      <w:pPr>
        <w:pStyle w:val="Heading1"/>
      </w:pPr>
      <w:r>
        <w:t>4. Що верстальник повертає автору/видавцю</w:t>
      </w:r>
    </w:p>
    <w:p>
      <w:pPr>
        <w:pStyle w:val="ListBullet"/>
      </w:pPr>
      <w:r>
        <w:t>пакет вихідних файлів InDesign/Affinity або погодженого редактора або погоджений редагований формат;</w:t>
      </w:r>
    </w:p>
    <w:p>
      <w:pPr>
        <w:pStyle w:val="ListBullet"/>
      </w:pPr>
      <w:r>
        <w:t>друкарський PDF блоку;</w:t>
      </w:r>
    </w:p>
    <w:p>
      <w:pPr>
        <w:pStyle w:val="ListBullet"/>
      </w:pPr>
      <w:r>
        <w:t>PDF для друку розгортка обкладинки;</w:t>
      </w:r>
    </w:p>
    <w:p>
      <w:pPr>
        <w:pStyle w:val="ListBullet"/>
      </w:pPr>
      <w:r>
        <w:t>полегшений PDF для перегляду;</w:t>
      </w:r>
    </w:p>
    <w:p>
      <w:pPr>
        <w:pStyle w:val="ListBullet"/>
      </w:pPr>
      <w:r>
        <w:t>звіт переддрукової перевірки;</w:t>
      </w:r>
    </w:p>
    <w:p>
      <w:pPr>
        <w:pStyle w:val="ListBullet"/>
      </w:pPr>
      <w:r>
        <w:t>список шрифтів і ліцензій;</w:t>
      </w:r>
    </w:p>
    <w:p>
      <w:pPr>
        <w:pStyle w:val="ListBullet"/>
      </w:pPr>
      <w:r>
        <w:t>короткий журнал усіх текстових змін, які довелося внести під час верстки.</w:t>
      </w:r>
    </w:p>
    <w:p>
      <w:pPr>
        <w:pStyle w:val="Heading1"/>
      </w:pPr>
      <w:r>
        <w:t>5. Запит друкарні — мінімальний</w:t>
      </w:r>
    </w:p>
    <w:p>
      <w:r>
        <w:t>Просимо розрахунок для накладів 100 / 300 / 500 / 1000 примірників (або фактичних сценаріїв), із окремим зазначенням: формат, сторінки, папір блоку, палітурка, ламінування, шиття/клей, кольоровість, пакування, термін, доставка, тестовий примірник, вимоги до PDF та ICC. Не просити «ціну за книгу» без цих параметрів.</w:t>
      </w:r>
    </w:p>
    <w:sectPr w:rsidR="00FC693F" w:rsidRPr="0006063C" w:rsidSect="00034616">
      <w:footerReference w:type="default" r:id="rId9"/>
      <w:headerReference w:type="default" r:id="rId10"/>
      <w:headerReference w:type="first" r:id="rId11"/>
      <w:footerReference w:type="first" r:id="rId12"/>
      <w:headerReference w:type="even" r:id="rId13"/>
      <w:footerReference w:type="even" r:id="rId14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727A"/>
        <w:sz w:val="15"/>
      </w:rPr>
      <w:t>Видавничий пакет · 19.09.2026 · робочий документ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10" w:line="259" w:lineRule="auto"/>
    </w:pPr>
    <w:rPr>
      <w:rFonts w:ascii="Liberation Sans" w:hAnsi="Liberation San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00"/>
      <w:outlineLvl w:val="0"/>
    </w:pPr>
    <w:rPr>
      <w:rFonts w:asciiTheme="majorHAnsi" w:eastAsiaTheme="majorEastAsia" w:hAnsiTheme="majorHAnsi" w:cstheme="majorBidi" w:ascii="Liberation Sans" w:hAnsi="Liberation Sans"/>
      <w:b/>
      <w:bCs/>
      <w:color w:val="2F4858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00"/>
      <w:outlineLvl w:val="1"/>
    </w:pPr>
    <w:rPr>
      <w:rFonts w:asciiTheme="majorHAnsi" w:eastAsiaTheme="majorEastAsia" w:hAnsiTheme="majorHAnsi" w:cstheme="majorBidi" w:ascii="Liberation Sans" w:hAnsi="Liberation Sans"/>
      <w:b/>
      <w:bCs/>
      <w:color w:val="2F485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100"/>
      <w:outlineLvl w:val="2"/>
    </w:pPr>
    <w:rPr>
      <w:rFonts w:asciiTheme="majorHAnsi" w:eastAsiaTheme="majorEastAsia" w:hAnsiTheme="majorHAnsi" w:cstheme="majorBidi" w:ascii="Liberation Sans" w:hAnsi="Liberation Sans"/>
      <w:b/>
      <w:bCs/>
      <w:color w:val="66727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180"/>
      <w:contextualSpacing/>
    </w:pPr>
    <w:rPr>
      <w:rFonts w:asciiTheme="majorHAnsi" w:eastAsiaTheme="majorEastAsia" w:hAnsiTheme="majorHAnsi" w:cstheme="majorBidi" w:ascii="Liberation Sans" w:hAnsi="Liberation Sans"/>
      <w:b/>
      <w:color w:val="2F4858"/>
      <w:spacing w:val="5"/>
      <w:kern w:val="28"/>
      <w:sz w:val="5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">
    <w:name w:val="Small"/>
    <w:rPr>
      <w:rFonts w:ascii="Liberation Sans" w:hAnsi="Liberation Sans"/>
      <w:color w:val="66727A"/>
      <w:sz w:val="17"/>
    </w:rPr>
  </w:style>
  <w:style w:type="paragraph" w:customStyle="1" w:styleId="Pullquote">
    <w:name w:val="Pullquote"/>
    <w:pPr>
      <w:ind w:left="504" w:right="360"/>
    </w:pPr>
    <w:rPr>
      <w:rFonts w:ascii="Liberation Serif" w:hAnsi="Liberation Serif"/>
      <w:i/>
      <w:color w:val="2F4858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