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Зовнішня редакторська біблія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РЕДАКТОРА Й КОРЕКТОРА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1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567F75"/>
                <w:sz w:val="21"/>
              </w:rPr>
              <w:t>Для чого цей файл</w:t>
              <w:br/>
            </w:r>
            <w:r>
              <w:rPr>
                <w:sz w:val="19"/>
              </w:rPr>
              <w:t>Дати редактору рівно стільки лору, щоб він не «виправив» навмисну деталь, не створив реткон і не вимагав пояснювати читачеві те, що має лишитися загадкою.</w:t>
            </w:r>
          </w:p>
        </w:tc>
      </w:tr>
    </w:tbl>
    <w:p>
      <w:pPr>
        <w:spacing w:after="0"/>
      </w:pPr>
    </w:p>
    <w:p>
      <w:pPr>
        <w:pStyle w:val="Heading1"/>
      </w:pPr>
      <w:r>
        <w:t>1. Непорушні принципи</w:t>
      </w:r>
    </w:p>
    <w:p>
      <w:pPr>
        <w:pStyle w:val="ListBullet"/>
      </w:pPr>
      <w:r>
        <w:t>Головна тема — ціна адаптації й дорослішання відповідальності; не «добрий герой проти злої системи».</w:t>
      </w:r>
    </w:p>
    <w:p>
      <w:pPr>
        <w:pStyle w:val="ListBullet"/>
      </w:pPr>
      <w:r>
        <w:t>Ріокка-матеріал — ремесло з межами; дике не телепатія і не панацея.</w:t>
      </w:r>
    </w:p>
    <w:p>
      <w:pPr>
        <w:pStyle w:val="ListBullet"/>
      </w:pPr>
      <w:r>
        <w:t>Відповідальність ≠ контроль. Пізня арка Кая — передавати вміння й не бути незамінним.</w:t>
      </w:r>
    </w:p>
    <w:p>
      <w:pPr>
        <w:pStyle w:val="ListBullet"/>
      </w:pPr>
      <w:r>
        <w:t>Число — початок перевірки, не моральний фінал; але чесний рахунок усе одно потрібен.</w:t>
      </w:r>
    </w:p>
    <w:p>
      <w:pPr>
        <w:pStyle w:val="ListBullet"/>
      </w:pPr>
      <w:r>
        <w:t>Ніхто не отримує ретроспективне знання тільки тому, що читач бачив приквел.</w:t>
      </w:r>
    </w:p>
    <w:p>
      <w:pPr>
        <w:pStyle w:val="Heading1"/>
      </w:pPr>
      <w:r>
        <w:t>2. Робочий словник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Термін / мотив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Редакторське правило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ріокка / Ріокка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мала — матеріал; велика — світ-джерело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дике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з’являється лише пізно; передає натяг через суцільний ріст, не слова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«Остання миля»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до 40 живих разом з екіпажем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книга імен / «Для тих, хто після»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пам’ять без права володіти чужою історією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Рука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роль/почерк системи; не підміняти особу спойлером у ранніх томах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сім правил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успадковане ремесло, сенс якого змінюється по серії</w:t>
            </w:r>
          </w:p>
        </w:tc>
      </w:tr>
    </w:tbl>
    <w:p>
      <w:pPr>
        <w:pStyle w:val="Heading1"/>
      </w:pPr>
      <w:r>
        <w:t>3. Спойлерна дисципліна</w:t>
      </w:r>
    </w:p>
    <w:p>
      <w:pPr>
        <w:pStyle w:val="ListBullet"/>
      </w:pPr>
      <w:r>
        <w:t>Ведар/Рука — суворий спойлер до пізнього циклу.</w:t>
      </w:r>
    </w:p>
    <w:p>
      <w:pPr>
        <w:pStyle w:val="ListBullet"/>
      </w:pPr>
      <w:r>
        <w:t>Справжня історія Сьомого причалу — не для промо томів 1–3.</w:t>
      </w:r>
    </w:p>
    <w:p>
      <w:pPr>
        <w:pStyle w:val="ListBullet"/>
      </w:pPr>
      <w:r>
        <w:t>Фінальна «двері зсередини» й побутова сцена — не в анотацію.</w:t>
      </w:r>
    </w:p>
    <w:p>
      <w:pPr>
        <w:pStyle w:val="ListBullet"/>
      </w:pPr>
      <w:r>
        <w:t>Наслідки дикого (52 світи, Лад) не використовувати для реклами ранніх томів.</w:t>
      </w:r>
    </w:p>
    <w:p>
      <w:pPr>
        <w:pStyle w:val="Heading1"/>
      </w:pPr>
      <w:r>
        <w:t>4. Матриця томів</w:t>
      </w:r>
    </w:p>
    <w:p>
      <w:pPr>
        <w:pStyle w:val="Heading2"/>
      </w:pPr>
      <w:r>
        <w:t>0. Есквайр</w:t>
      </w:r>
    </w:p>
    <w:p>
      <w:r>
        <w:t>Що захищати:</w:t>
      </w:r>
    </w:p>
    <w:p>
      <w:pPr>
        <w:pStyle w:val="ListBullet"/>
      </w:pPr>
      <w:r>
        <w:t>Зберегти холодну професійну оптику; емоція приходить через запізнілу деталь, а не декларацію.</w:t>
      </w:r>
    </w:p>
    <w:p>
      <w:pPr>
        <w:pStyle w:val="ListBullet"/>
      </w:pPr>
      <w:r>
        <w:t>Не додавати персонажам томів 1–5 знання, яке існує лише для читача приквелу.</w:t>
      </w:r>
    </w:p>
    <w:p>
      <w:pPr>
        <w:pStyle w:val="ListBullet"/>
      </w:pPr>
      <w:r>
        <w:t>Перед друком потрібне останнє сліпе читання нового SHA і авторське переддрукове погодження.</w:t>
      </w:r>
    </w:p>
    <w:p>
      <w:r>
        <w:t>Джерело: riokka/books/book-00/editions/uk/canonical-2026-09-19/manuscript.docx</w:t>
      </w:r>
    </w:p>
    <w:p>
      <w:pPr>
        <w:pStyle w:val="Small"/>
      </w:pPr>
      <w:r>
        <w:t>SHA-256: dd7fac480b12bee21cc65a9b64f742ce86aca17db6825474bfc2f68d2e9e655b</w:t>
      </w:r>
    </w:p>
    <w:p>
      <w:pPr>
        <w:pStyle w:val="Heading2"/>
      </w:pPr>
      <w:r>
        <w:t>1. Антидот із Семарі</w:t>
      </w:r>
    </w:p>
    <w:p>
      <w:r>
        <w:t>Що захищати:</w:t>
      </w:r>
    </w:p>
    <w:p>
      <w:pPr>
        <w:pStyle w:val="ListBullet"/>
      </w:pPr>
      <w:r>
        <w:t>Захистити самостійність Ліни: її смерть — її дія, а не лише «урок Каю».</w:t>
      </w:r>
    </w:p>
    <w:p>
      <w:pPr>
        <w:pStyle w:val="ListBullet"/>
      </w:pPr>
      <w:r>
        <w:t>Ріокка як технологія: ремесло → межа → перевага; не робити з неї магію.</w:t>
      </w:r>
    </w:p>
    <w:p>
      <w:pPr>
        <w:pStyle w:val="ListBullet"/>
      </w:pPr>
      <w:r>
        <w:t>Термінологія UA: Рей, Джулія, Тимко, Семарі, ріокка з малої літери як матеріал.</w:t>
      </w:r>
    </w:p>
    <w:p>
      <w:r>
        <w:t>Джерело: riokka/books/book-01/editions/uk/canonical-2026-09-18/manuscript.docx</w:t>
      </w:r>
    </w:p>
    <w:p>
      <w:pPr>
        <w:pStyle w:val="Small"/>
      </w:pPr>
      <w:r>
        <w:t>SHA-256: b57820244666496f0047aa3798581e186d18859286581462a72f477d03a74e35</w:t>
      </w:r>
    </w:p>
    <w:p>
      <w:pPr>
        <w:pStyle w:val="Heading2"/>
      </w:pPr>
      <w:r>
        <w:t>2. Інші збитки</w:t>
      </w:r>
    </w:p>
    <w:p>
      <w:r>
        <w:t>Що захищати:</w:t>
      </w:r>
    </w:p>
    <w:p>
      <w:pPr>
        <w:pStyle w:val="ListBullet"/>
      </w:pPr>
      <w:r>
        <w:t>Не округлювати числа і не ламати правило місткості «Милі»: максимум 40 живих разом з екіпажем.</w:t>
      </w:r>
    </w:p>
    <w:p>
      <w:pPr>
        <w:pStyle w:val="ListBullet"/>
      </w:pPr>
      <w:r>
        <w:t>Книга імен — не декоративний символ, а робочий інструмент пам’яті.</w:t>
      </w:r>
    </w:p>
    <w:p>
      <w:pPr>
        <w:pStyle w:val="ListBullet"/>
      </w:pPr>
      <w:r>
        <w:t>Зберігати розрізнення «не підтверджено» / «загинув» / «зник».</w:t>
      </w:r>
    </w:p>
    <w:p>
      <w:r>
        <w:t>Джерело: riokka/books/book-02/editions/uk/canonical-2026-09-18/manuscript.docx</w:t>
      </w:r>
    </w:p>
    <w:p>
      <w:pPr>
        <w:pStyle w:val="Small"/>
      </w:pPr>
      <w:r>
        <w:t>SHA-256: 03d39e7894842d6df498ad960dfa0789009871f59b08cdb3f926f93a38574750</w:t>
      </w:r>
    </w:p>
    <w:p>
      <w:pPr>
        <w:pStyle w:val="Heading2"/>
      </w:pPr>
      <w:r>
        <w:t>3. Пагорб Розмарі</w:t>
      </w:r>
    </w:p>
    <w:p>
      <w:r>
        <w:t>Що захищати:</w:t>
      </w:r>
    </w:p>
    <w:p>
      <w:pPr>
        <w:pStyle w:val="ListBullet"/>
      </w:pPr>
      <w:r>
        <w:t>Сцени Кенарі тримати на принципі «система надійна, а не всесильна».</w:t>
      </w:r>
    </w:p>
    <w:p>
      <w:pPr>
        <w:pStyle w:val="ListBullet"/>
      </w:pPr>
      <w:r>
        <w:t>Оренова смерть і розподіл живого — окремі причинні лінії; не згладжувати.</w:t>
      </w:r>
    </w:p>
    <w:p>
      <w:pPr>
        <w:pStyle w:val="ListBullet"/>
      </w:pPr>
      <w:r>
        <w:t>Не давати Каю знання приквелу раніше, ніж його отримано в цьому томі.</w:t>
      </w:r>
    </w:p>
    <w:p>
      <w:r>
        <w:t>Джерело: riokka/books/book-03/editions/uk/final-2026-09-16/manuscript.docx</w:t>
      </w:r>
    </w:p>
    <w:p>
      <w:pPr>
        <w:pStyle w:val="Small"/>
      </w:pPr>
      <w:r>
        <w:t>SHA-256: cae2126e81bb0995e57e7e9406f90873f12a938d791f489278c9f360784ea533</w:t>
      </w:r>
    </w:p>
    <w:p>
      <w:pPr>
        <w:pStyle w:val="Heading2"/>
      </w:pPr>
      <w:r>
        <w:t>4. Почерк без імені</w:t>
      </w:r>
    </w:p>
    <w:p>
      <w:r>
        <w:t>Що захищати:</w:t>
      </w:r>
    </w:p>
    <w:p>
      <w:pPr>
        <w:pStyle w:val="ListBullet"/>
      </w:pPr>
      <w:r>
        <w:t>Не робити дике телепатією: воно передає натяг, не слова; лише через суцільний ріст.</w:t>
      </w:r>
    </w:p>
    <w:p>
      <w:pPr>
        <w:pStyle w:val="ListBullet"/>
      </w:pPr>
      <w:r>
        <w:t>Смерть Лада — конкретна вина Кая в конкретному ланцюгу, не абстрактна «кара природи».</w:t>
      </w:r>
    </w:p>
    <w:p>
      <w:pPr>
        <w:pStyle w:val="ListBullet"/>
      </w:pPr>
      <w:r>
        <w:t>Три епілоги мають лишатися окремими ракурсами, а не повторювати висновок.</w:t>
      </w:r>
    </w:p>
    <w:p>
      <w:r>
        <w:t>Джерело: riokka/books/book-04/editions/uk/canonical-2026-09-18/manuscript.docx</w:t>
      </w:r>
    </w:p>
    <w:p>
      <w:pPr>
        <w:pStyle w:val="Small"/>
      </w:pPr>
      <w:r>
        <w:t>SHA-256: 397746e37c6dd725998420d090bcca04b1b55459f62214ac43b53d991e4271d4</w:t>
      </w:r>
    </w:p>
    <w:p>
      <w:pPr>
        <w:pStyle w:val="Heading2"/>
      </w:pPr>
      <w:r>
        <w:t>5. Той, кого читають</w:t>
      </w:r>
    </w:p>
    <w:p>
      <w:r>
        <w:t>Що захищати:</w:t>
      </w:r>
    </w:p>
    <w:p>
      <w:pPr>
        <w:pStyle w:val="ListBullet"/>
      </w:pPr>
      <w:r>
        <w:t>Не робити Ведара демоном: його аргумент має лишатися раціональним і небезпечним саме цим.</w:t>
      </w:r>
    </w:p>
    <w:p>
      <w:pPr>
        <w:pStyle w:val="ListBullet"/>
      </w:pPr>
      <w:r>
        <w:t>Фінал не обіцяє, що систему «полагодив один герой».</w:t>
      </w:r>
    </w:p>
    <w:p>
      <w:pPr>
        <w:pStyle w:val="ListBullet"/>
      </w:pPr>
      <w:r>
        <w:t>Побутовий фінал не скорочувати заради більшого екшену: він є завершенням етичної арки.</w:t>
      </w:r>
    </w:p>
    <w:p>
      <w:r>
        <w:t>Джерело: riokka/books/book-05/editions/uk/canonical-2026-09-18b/manuscript.docx</w:t>
      </w:r>
    </w:p>
    <w:p>
      <w:pPr>
        <w:pStyle w:val="Small"/>
      </w:pPr>
      <w:r>
        <w:t>SHA-256: 0918d8f48652f19b356fb4b8c43c5674013f65c87edf058ed81dc9e25ada5b52</w:t>
      </w:r>
    </w:p>
    <w:p>
      <w:pPr>
        <w:pStyle w:val="Heading1"/>
      </w:pPr>
      <w:r>
        <w:t>5. Політика запитів до автора</w:t>
      </w:r>
    </w:p>
    <w:p>
      <w:pPr>
        <w:pStyle w:val="ListBullet"/>
      </w:pPr>
      <w:r>
        <w:t>Якщо правка змінює факт світу — запит до автора, а не «покращення».</w:t>
      </w:r>
    </w:p>
    <w:p>
      <w:pPr>
        <w:pStyle w:val="ListBullet"/>
      </w:pPr>
      <w:r>
        <w:t>Якщо правка робить персонажа розумнішим заднім числом — запит до автора.</w:t>
      </w:r>
    </w:p>
    <w:p>
      <w:pPr>
        <w:pStyle w:val="ListBullet"/>
      </w:pPr>
      <w:r>
        <w:t>Якщо суперечність може бути навмисною різницею знання/свідчення — перевірити джерело перед виправленням.</w:t>
      </w:r>
    </w:p>
    <w:p>
      <w:pPr>
        <w:pStyle w:val="ListBullet"/>
      </w:pPr>
      <w:r>
        <w:t>Не переносити маркетингову формулу в текст роману як пояснювальний монолог.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