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Біблія обкладинок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ДЛЯ ХУДОЖНИКА Й ДИЗАЙНЕРА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1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567F75"/>
                <w:sz w:val="21"/>
              </w:rPr>
              <w:t>Ціль</w:t>
              <w:br/>
            </w:r>
            <w:r>
              <w:rPr>
                <w:sz w:val="19"/>
              </w:rPr>
              <w:t>Обкладинка має бути впізнаваною в 100 px, читатися як доросла наукова фантастика і продавати конфлікт через одну людину/дію та один предмет — без колажу всього сюжету.</w:t>
            </w:r>
          </w:p>
        </w:tc>
      </w:tr>
    </w:tbl>
    <w:p>
      <w:pPr>
        <w:spacing w:after="0"/>
      </w:pPr>
    </w:p>
    <w:p>
      <w:pPr>
        <w:pStyle w:val="Heading1"/>
      </w:pPr>
      <w:r>
        <w:t>1. Візуальна мова</w:t>
      </w:r>
    </w:p>
    <w:p>
      <w:pPr>
        <w:pStyle w:val="ListBullet"/>
      </w:pPr>
      <w:r>
        <w:t>Сучасна кінематографічна наукова фантастика з живописним реалізмом і переконливою технікою.</w:t>
      </w:r>
    </w:p>
    <w:p>
      <w:pPr>
        <w:pStyle w:val="ListBullet"/>
      </w:pPr>
      <w:r>
        <w:t>Три рівні уваги: назва → людина/дія → один предмет моральної ваги.</w:t>
      </w:r>
    </w:p>
    <w:p>
      <w:pPr>
        <w:pStyle w:val="ListBullet"/>
      </w:pPr>
      <w:r>
        <w:t>Стримана палітра: холодна сталь/графіт + тепле світло + один сюжетний акцент.</w:t>
      </w:r>
    </w:p>
    <w:p>
      <w:pPr>
        <w:pStyle w:val="ListBullet"/>
      </w:pPr>
      <w:r>
        <w:t>Практична, вразлива людина; жодної супергеройської пози й зброї в камеру.</w:t>
      </w:r>
    </w:p>
    <w:p>
      <w:pPr>
        <w:pStyle w:val="ListBullet"/>
      </w:pPr>
      <w:r>
        <w:t>Фон великими масами; низький візуальний шум; сильна читабельність у мініатюрі.</w:t>
      </w:r>
    </w:p>
    <w:p>
      <w:pPr>
        <w:pStyle w:val="ListBullet"/>
      </w:pPr>
      <w:r>
        <w:t>Камерна дія через погляд, руки, предмет; не «космоопера з десятьма кораблями» на кожній обкладинці.</w:t>
      </w:r>
    </w:p>
    <w:p>
      <w:pPr>
        <w:pStyle w:val="Heading1"/>
      </w:pPr>
      <w:r>
        <w:t>2. Типографічна система</w:t>
      </w:r>
    </w:p>
    <w:p>
      <w:pPr>
        <w:pStyle w:val="ListBullet"/>
      </w:pPr>
      <w:r>
        <w:t>Томи 1–5: «КОНТРАКТНИК» як серійна лінія, «КНИГА N», назва тому. Авторське ім’я — після рішення про псевдонім/бренд.</w:t>
      </w:r>
    </w:p>
    <w:p>
      <w:pPr>
        <w:pStyle w:val="ListBullet"/>
      </w:pPr>
      <w:r>
        <w:t>Том 0: «ЕСКВАЙР» як велика назва; зв’язок із «Ріоккою/Контрактником» — вторинний, щоб не маскувати приквел під «книгу нуль» для нового читача.</w:t>
      </w:r>
    </w:p>
    <w:p>
      <w:pPr>
        <w:pStyle w:val="ListBullet"/>
      </w:pPr>
      <w:r>
        <w:t>Використати великий вузький гротеск; точна кирилиця; перевірка 256/100 px і у відтінках сірого.</w:t>
      </w:r>
    </w:p>
    <w:p>
      <w:pPr>
        <w:pStyle w:val="Heading1"/>
      </w:pPr>
      <w:r>
        <w:t>3. Заборонені скорочення</w:t>
      </w:r>
    </w:p>
    <w:p>
      <w:pPr>
        <w:pStyle w:val="ListBullet"/>
      </w:pPr>
      <w:r>
        <w:t>Не додавати військову броню «бо НФ».</w:t>
      </w:r>
    </w:p>
    <w:p>
      <w:pPr>
        <w:pStyle w:val="ListBullet"/>
      </w:pPr>
      <w:r>
        <w:t>Не робити зелене сяйво універсальним кодом серії.</w:t>
      </w:r>
    </w:p>
    <w:p>
      <w:pPr>
        <w:pStyle w:val="ListBullet"/>
      </w:pPr>
      <w:r>
        <w:t>Не ставити на обкладинку всіх героїв.</w:t>
      </w:r>
    </w:p>
    <w:p>
      <w:pPr>
        <w:pStyle w:val="ListBullet"/>
      </w:pPr>
      <w:r>
        <w:t>Не вигадувати форму технології поза каноном.</w:t>
      </w:r>
    </w:p>
    <w:p>
      <w:pPr>
        <w:pStyle w:val="ListBullet"/>
      </w:pPr>
      <w:r>
        <w:t>Не показувати особу Руки на т. 4–5.</w:t>
      </w:r>
    </w:p>
    <w:p>
      <w:pPr>
        <w:pStyle w:val="Heading1"/>
      </w:pPr>
      <w:r>
        <w:t>4. Напрями по книгах</w:t>
      </w:r>
    </w:p>
    <w:p>
      <w:pPr>
        <w:pStyle w:val="Heading2"/>
      </w:pPr>
      <w:r>
        <w:t>0. Есквайр</w:t>
      </w:r>
    </w:p>
    <w:p>
      <w:r>
        <w:t>Порогова сцена: практична постать Есквайра біля службових дверей; документ лишається в руці іншої людини. Другий мотив — потерта картка семи правил / ложка Гордія. Не показувати Ведара як «головного лиходія» і не перетворювати обкладинку на бойовик.</w:t>
      </w:r>
    </w:p>
    <w:p>
      <w:r>
        <w:t>Не спойлерити: фінальну особу/механізм і останній образ</w:t>
      </w:r>
    </w:p>
    <w:p>
      <w:pPr>
        <w:pStyle w:val="Heading2"/>
      </w:pPr>
      <w:r>
        <w:t>1. Антидот із Семарі</w:t>
      </w:r>
    </w:p>
    <w:p>
      <w:r>
        <w:t>Кай і глухий ящик із темного композиту; після відкриття — маленький майже білий паросток у поживному гелі. Камерний жест рук важливіший за космічний пейзаж. Це канонічно безпечніший напрям за старе «зелене вікно».</w:t>
      </w:r>
    </w:p>
    <w:p>
      <w:r>
        <w:t>Не спойлерити: фінальну особу/механізм і останній образ</w:t>
      </w:r>
    </w:p>
    <w:p>
      <w:pPr>
        <w:pStyle w:val="Heading2"/>
      </w:pPr>
      <w:r>
        <w:t>2. Інші збитки</w:t>
      </w:r>
    </w:p>
    <w:p>
      <w:r>
        <w:t>Не «вибух Велда», а відповідальність у предметі: крива книга на 109 рядків, рука Кая, порожні графи; на другому плані — транспортна рампа / багатобортова евакуація. Один теплий акцент на папері або дитячій розмітці.</w:t>
      </w:r>
    </w:p>
    <w:p>
      <w:r>
        <w:t>Не спойлерити: фінальну особу/механізм і останній образ</w:t>
      </w:r>
    </w:p>
    <w:p>
      <w:pPr>
        <w:pStyle w:val="Heading2"/>
      </w:pPr>
      <w:r>
        <w:t>3. Пагорб Розмарі</w:t>
      </w:r>
    </w:p>
    <w:p>
      <w:r>
        <w:t>Тераси Кенарі й Пагорб без «магічного зеленого вибуху». На передньому плані — прозора ємність із живою порцією, руки кількох людей, що передають її далі. Дверний/замковий мотив — другий план.</w:t>
      </w:r>
    </w:p>
    <w:p>
      <w:r>
        <w:t>Не спойлерити: фінальну особу/механізм і останній образ</w:t>
      </w:r>
    </w:p>
    <w:p>
      <w:pPr>
        <w:pStyle w:val="Heading2"/>
      </w:pPr>
      <w:r>
        <w:t>4. Почерк без імені</w:t>
      </w:r>
    </w:p>
    <w:p>
      <w:r>
        <w:t>Папір/книга «Для тих, хто після», почерк без підпису, руки Кая, а під міським швом — стримана зелена поросль. Не показувати особу Руки. Предмет пам’яті (термос Лада) можливий лише як дрібний другий мотив, не як буквальний сюжетний спойлер.</w:t>
      </w:r>
    </w:p>
    <w:p>
      <w:r>
        <w:t>Не спойлерити: фінальну особу/механізм і останній образ</w:t>
      </w:r>
    </w:p>
    <w:p>
      <w:pPr>
        <w:pStyle w:val="Heading2"/>
      </w:pPr>
      <w:r>
        <w:t>5. Той, кого читають</w:t>
      </w:r>
    </w:p>
    <w:p>
      <w:r>
        <w:t>Не портрет Ведара. Кай перед відкритою книгою/реєстром, дев’ять стриманих адресних міток, порожня графа або дверний шов; теплий побутовий мотив саджанця можна дати дуже тонко. Візуально це фінал серії, але без «трону боса».</w:t>
      </w:r>
    </w:p>
    <w:p>
      <w:r>
        <w:t>Не спойлерити: фінальну особу/механізм і останній образ</w:t>
      </w:r>
    </w:p>
    <w:p>
      <w:pPr>
        <w:pStyle w:val="Heading1"/>
      </w:pPr>
      <w:r>
        <w:t>5. Етапи роботи художника</w:t>
      </w:r>
    </w:p>
    <w:p>
      <w:pPr>
        <w:pStyle w:val="ListNumber"/>
      </w:pPr>
      <w:r>
        <w:t>6–10 чорно-білих мініатюрних ескізів композиції без деталізації.</w:t>
      </w:r>
    </w:p>
    <w:p>
      <w:pPr>
        <w:pStyle w:val="ListNumber"/>
      </w:pPr>
      <w:r>
        <w:t>2 композиції у кольорі з місцем для типографіки.</w:t>
      </w:r>
    </w:p>
    <w:p>
      <w:pPr>
        <w:pStyle w:val="ListNumber"/>
      </w:pPr>
      <w:r>
        <w:t>1 вибрана ключова ілюстрація у високій якості.</w:t>
      </w:r>
    </w:p>
    <w:p>
      <w:pPr>
        <w:pStyle w:val="ListNumber"/>
      </w:pPr>
      <w:r>
        <w:t>Перевірка фронтальної обкладинки у 256 px і 100 px; перевірка у відтінках сірого.</w:t>
      </w:r>
    </w:p>
    <w:p>
      <w:pPr>
        <w:pStyle w:val="ListNumber"/>
      </w:pPr>
      <w:r>
        <w:t>Після фінальної верстки — повна розгортка: задня обкладинка + корінець + передня обкладинка + випуски під обріз за шаблоном друкарні.</w:t>
      </w:r>
    </w:p>
    <w:p>
      <w:pPr>
        <w:pStyle w:val="ListNumber"/>
      </w:pPr>
      <w:r>
        <w:t>Передача вихідних файлів, ліцензій, списку шрифтів і 3–5 промокадрів.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