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Статус перед виданням: що дозволено, а що рано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НЕ ДРУКУВАТИ ДО КАНОНІЗАЦІЇ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Стоп-сигнал</w:t>
              <w:br/>
            </w:r>
            <w:r>
              <w:rPr>
                <w:sz w:val="19"/>
              </w:rPr>
              <w:t>Усі три UA-рукописи імпортовані як робоча чернетка, не канон. Видавничий розгляд і структурне й літературне редагування — так. Фінальна верстка, друк, «остаточна» анотація на наклад — ні.</w:t>
            </w:r>
          </w:p>
        </w:tc>
      </w:tr>
    </w:tbl>
    <w:p>
      <w:pPr>
        <w:spacing w:after="0"/>
      </w:pPr>
    </w:p>
    <w:p>
      <w:pPr>
        <w:pStyle w:val="Heading1"/>
      </w:pPr>
      <w:r>
        <w:t>Що можна вже</w:t>
      </w:r>
    </w:p>
    <w:p>
      <w:pPr>
        <w:pStyle w:val="ListBullet"/>
      </w:pPr>
      <w:r>
        <w:t>Звертатись до видавців із чесною позначкою «нова українська редакція в літературному доопрацюванні».</w:t>
      </w:r>
    </w:p>
    <w:p>
      <w:pPr>
        <w:pStyle w:val="ListBullet"/>
      </w:pPr>
      <w:r>
        <w:t>Починати структурну та літературну редактуру по томах.</w:t>
      </w:r>
    </w:p>
    <w:p>
      <w:pPr>
        <w:pStyle w:val="ListBullet"/>
      </w:pPr>
      <w:r>
        <w:t>Робити мініатюрні ескізи обкладинки і серійну айдентику без фінальної ширини корінця.</w:t>
      </w:r>
    </w:p>
    <w:p>
      <w:pPr>
        <w:pStyle w:val="ListBullet"/>
      </w:pPr>
      <w:r>
        <w:t>Готувати маркетингове позиціонування, посадкову сторінку та список ARC-контактів — без дати релізу.</w:t>
      </w:r>
    </w:p>
    <w:p>
      <w:pPr>
        <w:pStyle w:val="Heading1"/>
      </w:pPr>
      <w:r>
        <w:t>Що заблоковано</w:t>
      </w:r>
    </w:p>
    <w:p>
      <w:pPr>
        <w:pStyle w:val="ListBullet"/>
      </w:pPr>
      <w:r>
        <w:t>Призначення ISBN під конкретний фінальний макет.</w:t>
      </w:r>
    </w:p>
    <w:p>
      <w:pPr>
        <w:pStyle w:val="ListBullet"/>
      </w:pPr>
      <w:r>
        <w:t>Фінальна верстка книжкового блока та повний розгорт обкладинки.</w:t>
      </w:r>
    </w:p>
    <w:p>
      <w:pPr>
        <w:pStyle w:val="ListBullet"/>
      </w:pPr>
      <w:r>
        <w:t>Тираж як готового видання.</w:t>
      </w:r>
    </w:p>
    <w:p>
      <w:pPr>
        <w:pStyle w:val="ListBullet"/>
      </w:pPr>
      <w:r>
        <w:t>Пресреліз із остаточними сюжетними формулюваннями т. 2–3, поки не закриті відкриті питання.</w:t>
      </w:r>
    </w:p>
    <w:p>
      <w:pPr>
        <w:pStyle w:val="Heading1"/>
      </w:pPr>
      <w:r>
        <w:t>Що має статися до розблокування друку</w:t>
      </w:r>
    </w:p>
    <w:p>
      <w:pPr>
        <w:pStyle w:val="ListNumber"/>
      </w:pPr>
      <w:r>
        <w:t>Повний редакторський цикл кожного нового UA-драфту.</w:t>
      </w:r>
    </w:p>
    <w:p>
      <w:pPr>
        <w:pStyle w:val="ListNumber"/>
      </w:pPr>
      <w:r>
        <w:t>Авторські рішення щодо безперервності канону та відкритих питань.</w:t>
      </w:r>
    </w:p>
    <w:p>
      <w:pPr>
        <w:pStyle w:val="ListNumber"/>
      </w:pPr>
      <w:r>
        <w:t>Призначення canonical_ua_master у book.json.</w:t>
      </w:r>
    </w:p>
    <w:p>
      <w:pPr>
        <w:pStyle w:val="ListNumber"/>
      </w:pPr>
      <w:r>
        <w:t>Сліпе читання нових SHA.</w:t>
      </w:r>
    </w:p>
    <w:p>
      <w:pPr>
        <w:pStyle w:val="ListNumber"/>
      </w:pPr>
      <w:r>
        <w:t>Language/мовно-стилістична редактура QA.</w:t>
      </w:r>
    </w:p>
    <w:p>
      <w:pPr>
        <w:pStyle w:val="ListNumber"/>
      </w:pPr>
      <w:r>
        <w:t>Релізний бар’єр — і тільки потім верстка.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