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БЮРО НЕЗДІЙСНЕНИХ СВІТІВ</w:t>
      </w:r>
    </w:p>
    <w:p>
      <w:pPr>
        <w:pStyle w:val="Title"/>
        <w:jc w:val="center"/>
      </w:pPr>
      <w:r>
        <w:t>Біблія обкладинок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8B5D46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ДЛЯ ХУДОЖНИКА Й ДИЗАЙНЕРА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7F2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8B5D46"/>
                <w:sz w:val="21"/>
              </w:rPr>
              <w:t>Ціль</w:t>
              <w:br/>
            </w:r>
            <w:r>
              <w:rPr>
                <w:sz w:val="19"/>
              </w:rPr>
              <w:t>Обкладинка має бути впізнаваною в 100 px, читатися як доросла наукова фантастика і продавати конфлікт через одну людину/дію та один предмет — без колажу всього сюжету.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7F2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8B5D46"/>
                <w:sz w:val="21"/>
              </w:rPr>
              <w:t>Статус артнапряму</w:t>
              <w:br/>
            </w:r>
            <w:r>
              <w:rPr>
                <w:sz w:val="19"/>
              </w:rPr>
              <w:t>Це видавничо-дизайнерська пропозиція, а не факт канону. До фінальної обкладинки серії «Бюро» напрям треба окремо затвердити автором/артдиректором після канонізації українських текстів.</w:t>
            </w:r>
          </w:p>
        </w:tc>
      </w:tr>
    </w:tbl>
    <w:p>
      <w:pPr>
        <w:spacing w:after="0"/>
      </w:pPr>
    </w:p>
    <w:p>
      <w:pPr>
        <w:pStyle w:val="Heading1"/>
      </w:pPr>
      <w:r>
        <w:t>1. Візуальна мова</w:t>
      </w:r>
    </w:p>
    <w:p>
      <w:pPr>
        <w:pStyle w:val="ListBullet"/>
      </w:pPr>
      <w:r>
        <w:t>Холодна інституційна наукова фантастика: чиста геометрія, масштаб системи й мала людська фігура.</w:t>
      </w:r>
    </w:p>
    <w:p>
      <w:pPr>
        <w:pStyle w:val="ListBullet"/>
      </w:pPr>
      <w:r>
        <w:t>Палітра: паперовий білий/сірий/графіт + адміністративний бурштин/іржавий/червоний акцент.</w:t>
      </w:r>
    </w:p>
    <w:p>
      <w:pPr>
        <w:pStyle w:val="ListBullet"/>
      </w:pPr>
      <w:r>
        <w:t>Візуальний словник: створ, лічильник, графа, лупа, маршрут, труба/потік, крісло, Перо.</w:t>
      </w:r>
    </w:p>
    <w:p>
      <w:pPr>
        <w:pStyle w:val="ListBullet"/>
      </w:pPr>
      <w:r>
        <w:t>Більше негативного простору, менше «кінематографічного космосу» — це свідоме відмежування від Ріокки.</w:t>
      </w:r>
    </w:p>
    <w:p>
      <w:pPr>
        <w:pStyle w:val="ListBullet"/>
      </w:pPr>
      <w:r>
        <w:t>Метафізика має виглядати робочою інфраструктурою, а не магічним порталом.</w:t>
      </w:r>
    </w:p>
    <w:p>
      <w:pPr>
        <w:pStyle w:val="Heading1"/>
      </w:pPr>
      <w:r>
        <w:t>2. Типографічна система</w:t>
      </w:r>
    </w:p>
    <w:p>
      <w:pPr>
        <w:pStyle w:val="ListBullet"/>
      </w:pPr>
      <w:r>
        <w:t>Назва серії «БЮРО НЕЗДІЙСНЕНИХ СВІТІВ» як стримана лінія/колонтитул.</w:t>
      </w:r>
    </w:p>
    <w:p>
      <w:pPr>
        <w:pStyle w:val="ListBullet"/>
      </w:pPr>
      <w:r>
        <w:t>Назва тому велика. Номер книги вторинний.</w:t>
      </w:r>
    </w:p>
    <w:p>
      <w:pPr>
        <w:pStyle w:val="ListBullet"/>
      </w:pPr>
      <w:r>
        <w:t>Шрифт: модерний неогротеск/моноширинний акцент для службової системи; не робити весь текст «терміналом».</w:t>
      </w:r>
    </w:p>
    <w:p>
      <w:pPr>
        <w:pStyle w:val="Heading1"/>
      </w:pPr>
      <w:r>
        <w:t>3. Заборонені скорочення</w:t>
      </w:r>
    </w:p>
    <w:p>
      <w:pPr>
        <w:pStyle w:val="ListBullet"/>
      </w:pPr>
      <w:r>
        <w:t>Не використовувати дерево/насіння/корінь як головний символ — це територія «Ріокки».</w:t>
      </w:r>
    </w:p>
    <w:p>
      <w:pPr>
        <w:pStyle w:val="ListBullet"/>
      </w:pPr>
      <w:r>
        <w:t>Не робити Бориса космічним авантюристом із бластером.</w:t>
      </w:r>
    </w:p>
    <w:p>
      <w:pPr>
        <w:pStyle w:val="ListBullet"/>
      </w:pPr>
      <w:r>
        <w:t>Не малювати Перо як чарівний артефакт або гігантську містичну руку.</w:t>
      </w:r>
    </w:p>
    <w:p>
      <w:pPr>
        <w:pStyle w:val="ListBullet"/>
      </w:pPr>
      <w:r>
        <w:t>Не обіцяти фінальний «розгром Бюро».</w:t>
      </w:r>
    </w:p>
    <w:p>
      <w:pPr>
        <w:pStyle w:val="Heading1"/>
      </w:pPr>
      <w:r>
        <w:t>4. Напрями по книгах</w:t>
      </w:r>
    </w:p>
    <w:p>
      <w:pPr>
        <w:pStyle w:val="Heading2"/>
      </w:pPr>
      <w:r>
        <w:t>1. Чистий аркуш</w:t>
      </w:r>
    </w:p>
    <w:p>
      <w:r>
        <w:t>Борис перед безкольоровим створом; лічильник показує перевищення норми. Другий центр — лупа над двома незіставними графами «увійшло / доставлено». Білий простір важливіший за космічний фон.</w:t>
      </w:r>
    </w:p>
    <w:p>
      <w:r>
        <w:t>Не спойлерити: остаточний вибір, внутрішню архітектуру Пера та наслідок фіналу</w:t>
      </w:r>
    </w:p>
    <w:p>
      <w:pPr>
        <w:pStyle w:val="Heading2"/>
      </w:pPr>
      <w:r>
        <w:t>2. За розкладом</w:t>
      </w:r>
    </w:p>
    <w:p>
      <w:r>
        <w:t>Місто, що живе за розкладом; мережа маршрутів спускається в темніший інституційний простір. Предметний центр — розклад/маршрутний аркуш з однією відсутньою адресою. Не зелень, не дерево, не ріоккський «живий матеріал».</w:t>
      </w:r>
    </w:p>
    <w:p>
      <w:r>
        <w:t>Не спойлерити: остаточний вибір, внутрішню архітектуру Пера та наслідок фіналу</w:t>
      </w:r>
    </w:p>
    <w:p>
      <w:pPr>
        <w:pStyle w:val="Heading2"/>
      </w:pPr>
      <w:r>
        <w:t>3. Перо без руки</w:t>
      </w:r>
    </w:p>
    <w:p>
      <w:r>
        <w:t>Порожнє/напівпорожнє крісло, стилус або Перо на робочій поверхні, відкрита графа; Борис стоїть поруч, не тріумфує. Геометрична, інституційна композиція; ніякої містичної гігантської руки.</w:t>
      </w:r>
    </w:p>
    <w:p>
      <w:r>
        <w:t>Не спойлерити: остаточний вибір, внутрішню архітектуру Пера та наслідок фіналу</w:t>
      </w:r>
    </w:p>
    <w:p>
      <w:pPr>
        <w:pStyle w:val="Heading1"/>
      </w:pPr>
      <w:r>
        <w:t>5. Етапи роботи художника</w:t>
      </w:r>
    </w:p>
    <w:p>
      <w:pPr>
        <w:pStyle w:val="ListNumber"/>
      </w:pPr>
      <w:r>
        <w:t>6–10 чорно-білих мініатюрних ескізів композиції без деталізації.</w:t>
      </w:r>
    </w:p>
    <w:p>
      <w:pPr>
        <w:pStyle w:val="ListNumber"/>
      </w:pPr>
      <w:r>
        <w:t>2 композиції у кольорі з місцем для типографіки.</w:t>
      </w:r>
    </w:p>
    <w:p>
      <w:pPr>
        <w:pStyle w:val="ListNumber"/>
      </w:pPr>
      <w:r>
        <w:t>1 вибрана ключова ілюстрація у високій якості.</w:t>
      </w:r>
    </w:p>
    <w:p>
      <w:pPr>
        <w:pStyle w:val="ListNumber"/>
      </w:pPr>
      <w:r>
        <w:t>Перевірка фронтальної обкладинки у 256 px і 100 px; перевірка у відтінках сірого.</w:t>
      </w:r>
    </w:p>
    <w:p>
      <w:pPr>
        <w:pStyle w:val="ListNumber"/>
      </w:pPr>
      <w:r>
        <w:t>Після фінальної верстки — повна розгортка: задня обкладинка + корінець + передня обкладинка + випуски під обріз за шаблоном друкарні.</w:t>
      </w:r>
    </w:p>
    <w:p>
      <w:pPr>
        <w:pStyle w:val="ListNumber"/>
      </w:pPr>
      <w:r>
        <w:t>Передача вихідних файлів, ліцензій, списку шрифтів і 3–5 промокадрів.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Бюро нездійснених світів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8B5D4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8B5D4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