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STRATEGIC BRIEFING</w:t>
      </w:r>
    </w:p>
    <w:p>
      <w:pPr>
        <w:jc w:val="center"/>
      </w:pPr>
      <w:r>
        <w:rPr>
          <w:color w:val="024079"/>
          <w:sz w:val="32"/>
        </w:rPr>
        <w:t>UBS Feel Switzerland Communication Strategy</w:t>
      </w:r>
    </w:p>
    <w:p>
      <w:pPr>
        <w:jc w:val="center"/>
      </w:pPr>
      <w:r>
        <w:rPr>
          <w:i/>
          <w:sz w:val="24"/>
        </w:rPr>
        <w:t>Advisory Engagement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UBS Switzerland – Marketing Strategy &amp;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Perspective</w:t>
            </w:r>
          </w:p>
        </w:tc>
        <w:tc>
          <w:tcPr>
            <w:tcW w:type="dxa" w:w="4320"/>
          </w:tcPr>
          <w:p>
            <w:r>
              <w:t>Head Marketing Strategy &amp;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UBS's Feel Switzerland programme represents a distinctive value proposition connecting clients to Swiss culture, sports, and lifestyle through exclusive access to UBS's extensive sponsorship portfolio. The programme offers 20-50% discounts on tickets across premium cultural and sporting events – from Zurich Film Festival to Art Basel, from Super League football to the Opernhaus Zürich.</w:t>
      </w:r>
    </w:p>
    <w:p>
      <w:r>
        <w:t>The strategic challenge is communication effectiveness: How can Feel Switzerland be communicated in a way that is simple, compelling, and behaviourally activating – while the eligibility conditions (particularly for adults requiring an investment product) are framed positively rather than as barriers?</w:t>
      </w:r>
    </w:p>
    <w:p>
      <w:r>
        <w:rPr>
          <w:b/>
        </w:rPr>
        <w:t xml:space="preserve">The core challenge: </w:t>
      </w:r>
      <w:r>
        <w:t>Should UBS communicate the full breadth of Feel Switzerland benefits, or focus on a few compelling advantages? How should eligibility conditions be framed to maximise attractiveness and activation while respecting fairness preferences? And how do optimal communication strategies differ between adult and youth segments?</w:t>
      </w:r>
    </w:p>
    <w:p>
      <w:r>
        <w:t>This engagement will deliver a comprehensive communication briefing with segment-specific recommendations, eligibility framing strategies, and behavioural activation mechanisms grounded in behavioural economics principles.</w:t>
      </w:r>
    </w:p>
    <w:p>
      <w:r>
        <w:br w:type="page"/>
      </w:r>
    </w:p>
    <w:p>
      <w:pPr>
        <w:pStyle w:val="Heading1"/>
      </w:pPr>
      <w:r>
        <w:t>Programme Overview: Feel Switzerland</w:t>
      </w:r>
    </w:p>
    <w:p>
      <w:pPr>
        <w:pStyle w:val="Heading2"/>
      </w:pPr>
      <w:r>
        <w:t>Event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Type</w:t>
            </w:r>
          </w:p>
        </w:tc>
      </w:tr>
      <w:tr>
        <w:tc>
          <w:tcPr>
            <w:tcW w:type="dxa" w:w="2880"/>
          </w:tcPr>
          <w:p>
            <w:r>
              <w:t>Film &amp; Culture</w:t>
            </w:r>
          </w:p>
        </w:tc>
        <w:tc>
          <w:tcPr>
            <w:tcW w:type="dxa" w:w="2880"/>
          </w:tcPr>
          <w:p>
            <w:r>
              <w:t>Zurich Film Festival, Locarno Film Festival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Music &amp; Performing Arts</w:t>
            </w:r>
          </w:p>
        </w:tc>
        <w:tc>
          <w:tcPr>
            <w:tcW w:type="dxa" w:w="2880"/>
          </w:tcPr>
          <w:p>
            <w:r>
              <w:t>Lucerne Festival, Opernhaus Zürich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Visual Arts</w:t>
            </w:r>
          </w:p>
        </w:tc>
        <w:tc>
          <w:tcPr>
            <w:tcW w:type="dxa" w:w="2880"/>
          </w:tcPr>
          <w:p>
            <w:r>
              <w:t>Art Basel, Fondation Beyeler, Kunstmuseum Basel, Kunsthaus Zürich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Equestrian &amp; Winter</w:t>
            </w:r>
          </w:p>
        </w:tc>
        <w:tc>
          <w:tcPr>
            <w:tcW w:type="dxa" w:w="2880"/>
          </w:tcPr>
          <w:p>
            <w:r>
              <w:t>CHI Genève, White Turf, Spengler Cup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Athletics</w:t>
            </w:r>
          </w:p>
        </w:tc>
        <w:tc>
          <w:tcPr>
            <w:tcW w:type="dxa" w:w="2880"/>
          </w:tcPr>
          <w:p>
            <w:r>
              <w:t>Athletissima, Weltklasse Zürich</w:t>
            </w:r>
          </w:p>
        </w:tc>
        <w:tc>
          <w:tcPr>
            <w:tcW w:type="dxa" w:w="2880"/>
          </w:tcPr>
          <w:p>
            <w:r>
              <w:t>Early Access</w:t>
            </w:r>
          </w:p>
        </w:tc>
      </w:tr>
      <w:tr>
        <w:tc>
          <w:tcPr>
            <w:tcW w:type="dxa" w:w="2880"/>
          </w:tcPr>
          <w:p>
            <w:r>
              <w:t>Golf</w:t>
            </w:r>
          </w:p>
        </w:tc>
        <w:tc>
          <w:tcPr>
            <w:tcW w:type="dxa" w:w="2880"/>
          </w:tcPr>
          <w:p>
            <w:r>
              <w:t>Omega European Masters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Football</w:t>
            </w:r>
          </w:p>
        </w:tc>
        <w:tc>
          <w:tcPr>
            <w:tcW w:type="dxa" w:w="2880"/>
          </w:tcPr>
          <w:p>
            <w:r>
              <w:t>Swiss FA, Super League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  <w:tr>
        <w:tc>
          <w:tcPr>
            <w:tcW w:type="dxa" w:w="2880"/>
          </w:tcPr>
          <w:p>
            <w:r>
              <w:t>Charity</w:t>
            </w:r>
          </w:p>
        </w:tc>
        <w:tc>
          <w:tcPr>
            <w:tcW w:type="dxa" w:w="2880"/>
          </w:tcPr>
          <w:p>
            <w:r>
              <w:t>Sporthilfe Super10Kampf</w:t>
            </w:r>
          </w:p>
        </w:tc>
        <w:tc>
          <w:tcPr>
            <w:tcW w:type="dxa" w:w="2880"/>
          </w:tcPr>
          <w:p>
            <w:r>
              <w:t>Discounted</w:t>
            </w:r>
          </w:p>
        </w:tc>
      </w:tr>
    </w:tbl>
    <w:p>
      <w:pPr>
        <w:pStyle w:val="Heading2"/>
      </w:pPr>
      <w:r>
        <w:t>Eligibility Structure</w:t>
      </w:r>
    </w:p>
    <w:p>
      <w:pPr>
        <w:pStyle w:val="Heading3"/>
      </w:pPr>
      <w:r>
        <w:t>Youth Segment (Simplified Access)</w:t>
      </w:r>
    </w:p>
    <w:p>
      <w:pPr>
        <w:pStyle w:val="ListBullet"/>
      </w:pPr>
      <w:r>
        <w:t>Young Adults (up to 26 years): UBS account only</w:t>
      </w:r>
    </w:p>
    <w:p>
      <w:pPr>
        <w:pStyle w:val="ListBullet"/>
      </w:pPr>
      <w:r>
        <w:t>Students (up to 30 years): UBS account only</w:t>
      </w:r>
    </w:p>
    <w:p>
      <w:pPr>
        <w:pStyle w:val="Heading3"/>
      </w:pPr>
      <w:r>
        <w:t>Adult Segment (Qualified Access)</w:t>
      </w:r>
    </w:p>
    <w:p>
      <w:pPr>
        <w:pStyle w:val="ListBullet"/>
      </w:pPr>
      <w:r>
        <w:t>Primary Condition: UBS account (Hauptbank status)</w:t>
      </w:r>
    </w:p>
    <w:p>
      <w:pPr>
        <w:pStyle w:val="ListBullet"/>
      </w:pPr>
      <w:r>
        <w:t>Secondary Condition: At least one investment product (Vorsorge, Investment, or Hypothek)</w:t>
      </w:r>
    </w:p>
    <w:p>
      <w:r>
        <w:br w:type="page"/>
      </w:r>
    </w:p>
    <w:p>
      <w:pPr>
        <w:pStyle w:val="Heading1"/>
      </w:pPr>
      <w:r>
        <w:t>Question 1: Communication Strategy Framework</w:t>
      </w:r>
    </w:p>
    <w:p>
      <w:pPr>
        <w:pStyle w:val="Heading2"/>
      </w:pPr>
      <w:r>
        <w:t>The Strategic Question</w:t>
      </w:r>
    </w:p>
    <w:p>
      <w:r>
        <w:t>How can Feel Switzerland be communicated in the most simple, attractive, and behaviourally effective way – and should UBS focus communication on a few key benefits or communicate the full breadth of the offering?</w:t>
      </w:r>
    </w:p>
    <w:p>
      <w:pPr>
        <w:pStyle w:val="Heading2"/>
      </w:pPr>
      <w:r>
        <w:t>Part A: Focused vs. Broad Communication Analysis</w:t>
      </w:r>
    </w:p>
    <w:p>
      <w:r>
        <w:t>The fundamental strategic tension requires rigorous analysis: UBS currently communicates the full breadth of Feel Switzerland benefits (status quo). The hypothesis to be tested is whether a more focused communication approach might be more effective.</w:t>
      </w:r>
    </w:p>
    <w:p>
      <w:pPr>
        <w:pStyle w:val="Heading3"/>
      </w:pPr>
      <w:r>
        <w:t>Behavioural Economics Perspective</w:t>
      </w:r>
    </w:p>
    <w:p>
      <w:r>
        <w:t>The consultant must analyse this question through established behavioural principles:</w:t>
      </w:r>
    </w:p>
    <w:p>
      <w:r>
        <w:rPr>
          <w:b/>
        </w:rPr>
        <w:t xml:space="preserve">Choice Overload and Decision Paralysis: </w:t>
      </w:r>
      <w:r>
        <w:t>At what point does breadth of offering create cognitive overload? How does the number of communicated benefits affect processing fluency?</w:t>
      </w:r>
    </w:p>
    <w:p>
      <w:r>
        <w:rPr>
          <w:b/>
        </w:rPr>
        <w:t xml:space="preserve">Attention and Salience: </w:t>
      </w:r>
      <w:r>
        <w:t>Which benefits are most salient to which segments? What makes certain benefits "anchor" the overall value proposition?</w:t>
      </w:r>
    </w:p>
    <w:p>
      <w:r>
        <w:rPr>
          <w:b/>
        </w:rPr>
        <w:t xml:space="preserve">Mental Accounting: </w:t>
      </w:r>
      <w:r>
        <w:t>How do customers mentally categorise the Feel Switzerland benefits? Does broad communication create a coherent mental category?</w:t>
      </w:r>
    </w:p>
    <w:p>
      <w:pPr>
        <w:pStyle w:val="Heading2"/>
      </w:pPr>
      <w:r>
        <w:t>Deliverable Requirements</w:t>
      </w:r>
    </w:p>
    <w:p>
      <w:r>
        <w:t>1. Comparative analysis of focused vs. broad communication approaches</w:t>
      </w:r>
    </w:p>
    <w:p>
      <w:r>
        <w:t>2. Optimal benefit communication strategy with recommended focal benefits</w:t>
      </w:r>
    </w:p>
    <w:p>
      <w:r>
        <w:t>3. Segment-specific message architecture for adults and youth</w:t>
      </w:r>
    </w:p>
    <w:p>
      <w:r>
        <w:t>4. Benefit hierarchy with prioritisation rationale</w:t>
      </w:r>
    </w:p>
    <w:p>
      <w:r>
        <w:t>5. Channel-specific messaging guidelines</w:t>
      </w:r>
    </w:p>
    <w:p>
      <w:r>
        <w:t>6. A/B testing framework for validating recommendations</w:t>
      </w:r>
    </w:p>
    <w:p>
      <w:r>
        <w:br w:type="page"/>
      </w:r>
    </w:p>
    <w:p>
      <w:pPr>
        <w:pStyle w:val="Heading1"/>
      </w:pPr>
      <w:r>
        <w:t>Question 2: Behavioural Impact on Consideration and Conversion</w:t>
      </w:r>
    </w:p>
    <w:p>
      <w:pPr>
        <w:pStyle w:val="Heading2"/>
      </w:pPr>
      <w:r>
        <w:t>The Strategic Question</w:t>
      </w:r>
    </w:p>
    <w:p>
      <w:r>
        <w:t>What communication approaches most effectively influence behaviour in terms of consideration set inclusion and conversion – and how do these differ between adult and youth segments?</w:t>
      </w:r>
    </w:p>
    <w:p>
      <w:pPr>
        <w:pStyle w:val="Heading2"/>
      </w:pPr>
      <w:r>
        <w:t>Part A: Consideration Set Dynamics</w:t>
      </w:r>
    </w:p>
    <w:p>
      <w:pPr>
        <w:pStyle w:val="Heading3"/>
      </w:pPr>
      <w:r>
        <w:t>For Prospects (Non-Customers)</w:t>
      </w:r>
    </w:p>
    <w:p>
      <w:r>
        <w:t>How Feel Switzerland communication can drive UBS into the consideration set:</w:t>
      </w:r>
    </w:p>
    <w:p>
      <w:pPr>
        <w:pStyle w:val="ListBullet"/>
      </w:pPr>
      <w:r>
        <w:t>What triggers move prospects from awareness to active consideration?</w:t>
      </w:r>
    </w:p>
    <w:p>
      <w:pPr>
        <w:pStyle w:val="ListBullet"/>
      </w:pPr>
      <w:r>
        <w:t>How does Feel Switzerland compare to other bank differentiation strategies?</w:t>
      </w:r>
    </w:p>
    <w:p>
      <w:pPr>
        <w:pStyle w:val="ListBullet"/>
      </w:pPr>
      <w:r>
        <w:t>What is the role of Feel Switzerland in the broader UBS value proposition?</w:t>
      </w:r>
    </w:p>
    <w:p>
      <w:pPr>
        <w:pStyle w:val="Heading3"/>
      </w:pPr>
      <w:r>
        <w:t>For Existing Clients</w:t>
      </w:r>
    </w:p>
    <w:p>
      <w:r>
        <w:t>How Feel Switzerland drives deeper engagement:</w:t>
      </w:r>
    </w:p>
    <w:p>
      <w:pPr>
        <w:pStyle w:val="ListBullet"/>
      </w:pPr>
      <w:r>
        <w:t>For clients not using UBS as primary bank, what role can Feel Switzerland play?</w:t>
      </w:r>
    </w:p>
    <w:p>
      <w:pPr>
        <w:pStyle w:val="ListBullet"/>
      </w:pPr>
      <w:r>
        <w:t>How does Feel Switzerland create opportunities for cross-sell and up-sell?</w:t>
      </w:r>
    </w:p>
    <w:p>
      <w:pPr>
        <w:pStyle w:val="Heading2"/>
      </w:pPr>
      <w:r>
        <w:t>Part B: Conversion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Questions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Behavioural Barriers</w:t>
            </w:r>
          </w:p>
        </w:tc>
      </w:tr>
      <w:tr>
        <w:tc>
          <w:tcPr>
            <w:tcW w:type="dxa" w:w="2880"/>
          </w:tcPr>
          <w:p>
            <w:r>
              <w:t>Awareness</w:t>
            </w:r>
          </w:p>
        </w:tc>
        <w:tc>
          <w:tcPr>
            <w:tcW w:type="dxa" w:w="2880"/>
          </w:tcPr>
          <w:p>
            <w:r>
              <w:t>How do customers learn?</w:t>
            </w:r>
          </w:p>
        </w:tc>
        <w:tc>
          <w:tcPr>
            <w:tcW w:type="dxa" w:w="2880"/>
          </w:tcPr>
          <w:p>
            <w:r>
              <w:t>Attention, salience</w:t>
            </w:r>
          </w:p>
        </w:tc>
      </w:tr>
      <w:tr>
        <w:tc>
          <w:tcPr>
            <w:tcW w:type="dxa" w:w="2880"/>
          </w:tcPr>
          <w:p>
            <w:r>
              <w:t>Interest</w:t>
            </w:r>
          </w:p>
        </w:tc>
        <w:tc>
          <w:tcPr>
            <w:tcW w:type="dxa" w:w="2880"/>
          </w:tcPr>
          <w:p>
            <w:r>
              <w:t>What triggers engagement?</w:t>
            </w:r>
          </w:p>
        </w:tc>
        <w:tc>
          <w:tcPr>
            <w:tcW w:type="dxa" w:w="2880"/>
          </w:tcPr>
          <w:p>
            <w:r>
              <w:t>Relevance, motivation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How do they assess value?</w:t>
            </w:r>
          </w:p>
        </w:tc>
        <w:tc>
          <w:tcPr>
            <w:tcW w:type="dxa" w:w="2880"/>
          </w:tcPr>
          <w:p>
            <w:r>
              <w:t>Complexity, comparison</w:t>
            </w:r>
          </w:p>
        </w:tc>
      </w:tr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What prompts participation?</w:t>
            </w:r>
          </w:p>
        </w:tc>
        <w:tc>
          <w:tcPr>
            <w:tcW w:type="dxa" w:w="2880"/>
          </w:tcPr>
          <w:p>
            <w:r>
              <w:t>Inertia, friction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What are redemption steps?</w:t>
            </w:r>
          </w:p>
        </w:tc>
        <w:tc>
          <w:tcPr>
            <w:tcW w:type="dxa" w:w="2880"/>
          </w:tcPr>
          <w:p>
            <w:r>
              <w:t>Process friction</w:t>
            </w:r>
          </w:p>
        </w:tc>
      </w:tr>
      <w:tr>
        <w:tc>
          <w:tcPr>
            <w:tcW w:type="dxa" w:w="2880"/>
          </w:tcPr>
          <w:p>
            <w:r>
              <w:t>Advocacy</w:t>
            </w:r>
          </w:p>
        </w:tc>
        <w:tc>
          <w:tcPr>
            <w:tcW w:type="dxa" w:w="2880"/>
          </w:tcPr>
          <w:p>
            <w:r>
              <w:t>What drives recommendation?</w:t>
            </w:r>
          </w:p>
        </w:tc>
        <w:tc>
          <w:tcPr>
            <w:tcW w:type="dxa" w:w="2880"/>
          </w:tcPr>
          <w:p>
            <w:r>
              <w:t>Satisfaction, social value</w:t>
            </w:r>
          </w:p>
        </w:tc>
      </w:tr>
    </w:tbl>
    <w:p>
      <w:pPr>
        <w:pStyle w:val="Heading2"/>
      </w:pPr>
      <w:r>
        <w:t>Deliverable Requirements</w:t>
      </w:r>
    </w:p>
    <w:p>
      <w:r>
        <w:t>7. Decision journey map with behavioural barriers at each stage</w:t>
      </w:r>
    </w:p>
    <w:p>
      <w:r>
        <w:t>8. Friction audit with prioritised intervention opportunities</w:t>
      </w:r>
    </w:p>
    <w:p>
      <w:r>
        <w:t>9. Trigger moment catalogue with activation recommendations</w:t>
      </w:r>
    </w:p>
    <w:p>
      <w:r>
        <w:t>10. Segment-specific conversion strategies for adults and youth</w:t>
      </w:r>
    </w:p>
    <w:p>
      <w:r>
        <w:t>11. Expected impact quantification</w:t>
      </w:r>
    </w:p>
    <w:p>
      <w:r>
        <w:t>12. Measurement framework for tracking behavioural outcomes</w:t>
      </w:r>
    </w:p>
    <w:p>
      <w:r>
        <w:br w:type="page"/>
      </w:r>
    </w:p>
    <w:p>
      <w:pPr>
        <w:pStyle w:val="Heading1"/>
      </w:pPr>
      <w:r>
        <w:t>Question 3: Eligibility Communication Design</w:t>
      </w:r>
    </w:p>
    <w:p>
      <w:pPr>
        <w:pStyle w:val="Heading2"/>
      </w:pPr>
      <w:r>
        <w:t>The Strategic Question</w:t>
      </w:r>
    </w:p>
    <w:p>
      <w:r>
        <w:t>How can the eligibility conditions for Feel Switzerland – particularly the investment product requirement for adults – be communicated in a way that is perceived positively, does not violate fairness preferences, maximises programme attractiveness, and activates behaviour?</w:t>
      </w:r>
    </w:p>
    <w:p>
      <w:pPr>
        <w:pStyle w:val="Heading2"/>
      </w:pPr>
      <w:r>
        <w:t>Part A: Fairness Perception Analysis</w:t>
      </w:r>
    </w:p>
    <w:p>
      <w:r>
        <w:t>The eligibility structure creates a potential fairness challenge: adults must have an investment product to qualify, while youth have simplified access.</w:t>
      </w:r>
    </w:p>
    <w:p>
      <w:pPr>
        <w:pStyle w:val="Heading3"/>
      </w:pPr>
      <w:r>
        <w:t>Framing Effects on Fairness Perception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Perception</w:t>
            </w:r>
          </w:p>
        </w:tc>
      </w:tr>
      <w:tr>
        <w:tc>
          <w:tcPr>
            <w:tcW w:type="dxa" w:w="2880"/>
          </w:tcPr>
          <w:p>
            <w:r>
              <w:t>Exclusive Reward</w:t>
            </w:r>
          </w:p>
        </w:tc>
        <w:tc>
          <w:tcPr>
            <w:tcW w:type="dxa" w:w="2880"/>
          </w:tcPr>
          <w:p>
            <w:r>
              <w:t>"For our most valued clients"</w:t>
            </w:r>
          </w:p>
        </w:tc>
        <w:tc>
          <w:tcPr>
            <w:tcW w:type="dxa" w:w="2880"/>
          </w:tcPr>
          <w:p>
            <w:r>
              <w:t>Positive (aspiration)</w:t>
            </w:r>
          </w:p>
        </w:tc>
      </w:tr>
      <w:tr>
        <w:tc>
          <w:tcPr>
            <w:tcW w:type="dxa" w:w="2880"/>
          </w:tcPr>
          <w:p>
            <w:r>
              <w:t>Loyalty Recognition</w:t>
            </w:r>
          </w:p>
        </w:tc>
        <w:tc>
          <w:tcPr>
            <w:tcW w:type="dxa" w:w="2880"/>
          </w:tcPr>
          <w:p>
            <w:r>
              <w:t>"Thank you for your trust in UBS"</w:t>
            </w:r>
          </w:p>
        </w:tc>
        <w:tc>
          <w:tcPr>
            <w:tcW w:type="dxa" w:w="2880"/>
          </w:tcPr>
          <w:p>
            <w:r>
              <w:t>Positive (reciprocity)</w:t>
            </w:r>
          </w:p>
        </w:tc>
      </w:tr>
      <w:tr>
        <w:tc>
          <w:tcPr>
            <w:tcW w:type="dxa" w:w="2880"/>
          </w:tcPr>
          <w:p>
            <w:r>
              <w:t>Qualification Barrier</w:t>
            </w:r>
          </w:p>
        </w:tc>
        <w:tc>
          <w:tcPr>
            <w:tcW w:type="dxa" w:w="2880"/>
          </w:tcPr>
          <w:p>
            <w:r>
              <w:t>"You must have an investment"</w:t>
            </w:r>
          </w:p>
        </w:tc>
        <w:tc>
          <w:tcPr>
            <w:tcW w:type="dxa" w:w="2880"/>
          </w:tcPr>
          <w:p>
            <w:r>
              <w:t>Negative (exclusion)</w:t>
            </w:r>
          </w:p>
        </w:tc>
      </w:tr>
      <w:tr>
        <w:tc>
          <w:tcPr>
            <w:tcW w:type="dxa" w:w="2880"/>
          </w:tcPr>
          <w:p>
            <w:r>
              <w:t>Membership Tier</w:t>
            </w:r>
          </w:p>
        </w:tc>
        <w:tc>
          <w:tcPr>
            <w:tcW w:type="dxa" w:w="2880"/>
          </w:tcPr>
          <w:p>
            <w:r>
              <w:t>"Gold members enjoy these benefits"</w:t>
            </w:r>
          </w:p>
        </w:tc>
        <w:tc>
          <w:tcPr>
            <w:tcW w:type="dxa" w:w="2880"/>
          </w:tcPr>
          <w:p>
            <w:r>
              <w:t>Neutral to positive</w:t>
            </w:r>
          </w:p>
        </w:tc>
      </w:tr>
      <w:tr>
        <w:tc>
          <w:tcPr>
            <w:tcW w:type="dxa" w:w="2880"/>
          </w:tcPr>
          <w:p>
            <w:r>
              <w:t>Earned Benefit</w:t>
            </w:r>
          </w:p>
        </w:tc>
        <w:tc>
          <w:tcPr>
            <w:tcW w:type="dxa" w:w="2880"/>
          </w:tcPr>
          <w:p>
            <w:r>
              <w:t>"Your relationship unlocks access"</w:t>
            </w:r>
          </w:p>
        </w:tc>
        <w:tc>
          <w:tcPr>
            <w:tcW w:type="dxa" w:w="2880"/>
          </w:tcPr>
          <w:p>
            <w:r>
              <w:t>Positive (achievement)</w:t>
            </w:r>
          </w:p>
        </w:tc>
      </w:tr>
    </w:tbl>
    <w:p>
      <w:pPr>
        <w:pStyle w:val="Heading2"/>
      </w:pPr>
      <w:r>
        <w:t>Part B: Eligibility Framing Strategies</w:t>
      </w:r>
    </w:p>
    <w:p>
      <w:r>
        <w:t>The consultant must develop framing strategies that transform eligibility conditions from perceived barriers into perceived benefits:</w:t>
      </w:r>
    </w:p>
    <w:p>
      <w:pPr>
        <w:pStyle w:val="ListBullet"/>
      </w:pPr>
      <w:r>
        <w:t>Value-Based Framing: Position investment requirement as adding value</w:t>
      </w:r>
    </w:p>
    <w:p>
      <w:pPr>
        <w:pStyle w:val="ListBullet"/>
      </w:pPr>
      <w:r>
        <w:t>Reciprocity Framing: Frame as UBS reciprocating customer commitment</w:t>
      </w:r>
    </w:p>
    <w:p>
      <w:pPr>
        <w:pStyle w:val="ListBullet"/>
      </w:pPr>
      <w:r>
        <w:t>Aspiration Framing: Motivate non-qualifying customers to take action</w:t>
      </w:r>
    </w:p>
    <w:p>
      <w:pPr>
        <w:pStyle w:val="Heading2"/>
      </w:pPr>
      <w:r>
        <w:t>Deliverable Requirements</w:t>
      </w:r>
    </w:p>
    <w:p>
      <w:r>
        <w:t>13. Fairness perception analysis with risk assessment</w:t>
      </w:r>
    </w:p>
    <w:p>
      <w:r>
        <w:t>14. Eligibility framing strategy with recommended language</w:t>
      </w:r>
    </w:p>
    <w:p>
      <w:r>
        <w:t>15. Timing and channel recommendations for eligibility communication</w:t>
      </w:r>
    </w:p>
    <w:p>
      <w:r>
        <w:t>16. Pathway communication strategy for non-eligible customers</w:t>
      </w:r>
    </w:p>
    <w:p>
      <w:r>
        <w:t>17. Visual and linguistic guidelines for eligibility messaging</w:t>
      </w:r>
    </w:p>
    <w:p>
      <w:r>
        <w:t>18. Testing framework for validating fairness perceptions</w:t>
      </w:r>
    </w:p>
    <w:p>
      <w:r>
        <w:br w:type="page"/>
      </w:r>
    </w:p>
    <w:p>
      <w:pPr>
        <w:pStyle w:val="Heading1"/>
      </w:pPr>
      <w:r>
        <w:t>Question 4: Offering Architecture and Promotional Strategy</w:t>
      </w:r>
    </w:p>
    <w:p>
      <w:pPr>
        <w:pStyle w:val="Heading2"/>
      </w:pPr>
      <w:r>
        <w:t>The Strategic Question</w:t>
      </w:r>
    </w:p>
    <w:p>
      <w:r>
        <w:t>How should the Feel Switzerland offering be structured and promoted to maximise behavioural impact – including discount thresholds, promotional events, and potential expansion partnerships?</w:t>
      </w:r>
    </w:p>
    <w:p>
      <w:pPr>
        <w:pStyle w:val="Heading2"/>
      </w:pPr>
      <w:r>
        <w:t>Part A: Discount Architecture</w:t>
      </w:r>
    </w:p>
    <w:p>
      <w:r>
        <w:t>The current discount range (20-50%) requires validation:</w:t>
      </w:r>
    </w:p>
    <w:p>
      <w:pPr>
        <w:pStyle w:val="ListBullet"/>
      </w:pPr>
      <w:r>
        <w:t>Reference Price Effects: What discount levels are perceived as meaningful?</w:t>
      </w:r>
    </w:p>
    <w:p>
      <w:pPr>
        <w:pStyle w:val="ListBullet"/>
      </w:pPr>
      <w:r>
        <w:t>Quality Signalling: Do high discounts signal low quality?</w:t>
      </w:r>
    </w:p>
    <w:p>
      <w:pPr>
        <w:pStyle w:val="ListBullet"/>
      </w:pPr>
      <w:r>
        <w:t>Behavioural Activation: What discount triggers action vs. passive appreciation?</w:t>
      </w:r>
    </w:p>
    <w:p>
      <w:pPr>
        <w:pStyle w:val="Heading2"/>
      </w:pPr>
      <w:r>
        <w:t>Part B: Promotional Event Strategy</w:t>
      </w:r>
    </w:p>
    <w:p>
      <w:r>
        <w:t>Analysis of proposed promotional calendar (Black Friday, 1. August, Cyber Monday) with potential 80% discounts:</w:t>
      </w:r>
    </w:p>
    <w:p>
      <w:pPr>
        <w:pStyle w:val="ListBullet"/>
      </w:pPr>
      <w:r>
        <w:t>Do promotional moments capture sufficient attention?</w:t>
      </w:r>
    </w:p>
    <w:p>
      <w:pPr>
        <w:pStyle w:val="ListBullet"/>
      </w:pPr>
      <w:r>
        <w:t>Are these dates relevant to Feel Switzerland positioning?</w:t>
      </w:r>
    </w:p>
    <w:p>
      <w:pPr>
        <w:pStyle w:val="ListBullet"/>
      </w:pPr>
      <w:r>
        <w:t>Do promotions cannibalise regular-price engagement?</w:t>
      </w:r>
    </w:p>
    <w:p>
      <w:pPr>
        <w:pStyle w:val="ListBullet"/>
      </w:pPr>
      <w:r>
        <w:t>Do deep discounts align with UBS premium positioning?</w:t>
      </w:r>
    </w:p>
    <w:p>
      <w:pPr>
        <w:pStyle w:val="Heading2"/>
      </w:pPr>
      <w:r>
        <w:t>Part C: Expansion Partnership Analysis</w:t>
      </w:r>
    </w:p>
    <w:p>
      <w:pPr>
        <w:pStyle w:val="Heading3"/>
      </w:pPr>
      <w:r>
        <w:t>Schweiz Tourismus Partnership</w:t>
      </w:r>
    </w:p>
    <w:p>
      <w:r>
        <w:t>Strategic fit assessment, offering design, and behavioural impact analysis for tourism experiences.</w:t>
      </w:r>
    </w:p>
    <w:p>
      <w:pPr>
        <w:pStyle w:val="Heading3"/>
      </w:pPr>
      <w:r>
        <w:t>Ticketcorner Partnership</w:t>
      </w:r>
    </w:p>
    <w:p>
      <w:r>
        <w:t>Strategic fit assessment for mass-market concert access and impact on premium positioning.</w:t>
      </w:r>
    </w:p>
    <w:p>
      <w:pPr>
        <w:pStyle w:val="Heading2"/>
      </w:pPr>
      <w:r>
        <w:t>Deliverable Requirements</w:t>
      </w:r>
    </w:p>
    <w:p>
      <w:r>
        <w:t>19. Discount architecture recommendations with optimal thresholds</w:t>
      </w:r>
    </w:p>
    <w:p>
      <w:r>
        <w:t>20. Early access valuation analysis with communication guidelines</w:t>
      </w:r>
    </w:p>
    <w:p>
      <w:r>
        <w:t>21. Promotional calendar strategy with event-specific recommendations</w:t>
      </w:r>
    </w:p>
    <w:p>
      <w:r>
        <w:t>22. Risk assessment for deep discount promotions (80%)</w:t>
      </w:r>
    </w:p>
    <w:p>
      <w:r>
        <w:t>23. Schweiz Tourismus partnership analysis with recommendation</w:t>
      </w:r>
    </w:p>
    <w:p>
      <w:r>
        <w:t>24. Ticketcorner partnership analysis with recommendation</w:t>
      </w:r>
    </w:p>
    <w:p>
      <w:r>
        <w:t>25. Offering coherence assessment with portfolio recommendations</w:t>
      </w:r>
    </w:p>
    <w:p>
      <w:r>
        <w:br w:type="page"/>
      </w:r>
    </w:p>
    <w:p>
      <w:pPr>
        <w:pStyle w:val="Heading1"/>
      </w:pPr>
      <w:r>
        <w:t>Integration Across the Four Questions</w:t>
      </w:r>
    </w:p>
    <w:p>
      <w:r>
        <w:t>The four strategic questions are deeply interconnected:</w:t>
      </w:r>
    </w:p>
    <w:p>
      <w:r>
        <w:t>Question 1 (communication strategy) establishes whether focused or broad communication is more effective.</w:t>
      </w:r>
    </w:p>
    <w:p>
      <w:r>
        <w:t>Question 2 (behavioural impact) identifies specific mechanisms that drive consideration and conversion.</w:t>
      </w:r>
    </w:p>
    <w:p>
      <w:r>
        <w:t>Question 3 (eligibility communication) is central to adult segment success.</w:t>
      </w:r>
    </w:p>
    <w:p>
      <w:r>
        <w:t>Question 4 (offering architecture) provides the substance that communication must convey.</w:t>
      </w:r>
    </w:p>
    <w:p>
      <w:r>
        <w:t>The final communication briefing must synthesise insights from all four questions into an integrated recommendation.</w:t>
      </w:r>
    </w:p>
    <w:p>
      <w:pPr>
        <w:pStyle w:val="Heading1"/>
      </w:pPr>
      <w:r>
        <w:t>Engagement Parameters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Analysis, framework, draft recommendations</w:t>
            </w:r>
          </w:p>
        </w:tc>
      </w:tr>
      <w:tr>
        <w:tc>
          <w:tcPr>
            <w:tcW w:type="dxa" w:w="2880"/>
          </w:tcPr>
          <w:p>
            <w:r>
              <w:t>Schulterblick</w:t>
            </w:r>
          </w:p>
        </w:tc>
        <w:tc>
          <w:tcPr>
            <w:tcW w:type="dxa" w:w="2880"/>
          </w:tcPr>
          <w:p>
            <w:r>
              <w:t>Joint review</w:t>
            </w:r>
          </w:p>
        </w:tc>
        <w:tc>
          <w:tcPr>
            <w:tcW w:type="dxa" w:w="2880"/>
          </w:tcPr>
          <w:p>
            <w:r>
              <w:t>Feedback and alignment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Final communication briefing</w:t>
            </w:r>
          </w:p>
        </w:tc>
      </w:tr>
    </w:tbl>
    <w:p>
      <w:pPr>
        <w:pStyle w:val="Heading2"/>
      </w:pPr>
      <w:r>
        <w:t>Key Stakeholders</w:t>
      </w:r>
    </w:p>
    <w:p>
      <w:pPr>
        <w:pStyle w:val="ListBullet"/>
      </w:pPr>
      <w:r>
        <w:t>Dang Nguyen, Head Marketing Strategy &amp; Intelligence</w:t>
      </w:r>
    </w:p>
    <w:p>
      <w:pPr>
        <w:pStyle w:val="ListBullet"/>
      </w:pPr>
      <w:r>
        <w:t>Marketing Strategy Team</w:t>
      </w:r>
    </w:p>
    <w:p>
      <w:pPr>
        <w:pStyle w:val="ListBullet"/>
      </w:pPr>
      <w:r>
        <w:t>Feel Switzerland Programme Management</w:t>
      </w:r>
    </w:p>
    <w:p>
      <w:pPr>
        <w:pStyle w:val="Heading2"/>
      </w:pPr>
      <w:r>
        <w:t>Final Report Structure (30-40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Key findings and recommendations</w:t>
            </w:r>
          </w:p>
        </w:tc>
      </w:tr>
      <w:tr>
        <w:tc>
          <w:tcPr>
            <w:tcW w:type="dxa" w:w="2880"/>
          </w:tcPr>
          <w:p>
            <w:r>
              <w:t>Programme Context</w:t>
            </w:r>
          </w:p>
        </w:tc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Feel Switzerland overview</w:t>
            </w:r>
          </w:p>
        </w:tc>
      </w:tr>
      <w:tr>
        <w:tc>
          <w:tcPr>
            <w:tcW w:type="dxa" w:w="2880"/>
          </w:tcPr>
          <w:p>
            <w:r>
              <w:t>Communication Strategy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Focused vs. broad analysis</w:t>
            </w:r>
          </w:p>
        </w:tc>
      </w:tr>
      <w:tr>
        <w:tc>
          <w:tcPr>
            <w:tcW w:type="dxa" w:w="2880"/>
          </w:tcPr>
          <w:p>
            <w:r>
              <w:t>Segment Analysis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Adult and youth strategies</w:t>
            </w:r>
          </w:p>
        </w:tc>
      </w:tr>
      <w:tr>
        <w:tc>
          <w:tcPr>
            <w:tcW w:type="dxa" w:w="2880"/>
          </w:tcPr>
          <w:p>
            <w:r>
              <w:t>Eligibility Framing</w:t>
            </w:r>
          </w:p>
        </w:tc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Fairness analysis, framing</w:t>
            </w:r>
          </w:p>
        </w:tc>
      </w:tr>
      <w:tr>
        <w:tc>
          <w:tcPr>
            <w:tcW w:type="dxa" w:w="2880"/>
          </w:tcPr>
          <w:p>
            <w:r>
              <w:t>Offering Recommendations</w:t>
            </w:r>
          </w:p>
        </w:tc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Discounts, promotions</w:t>
            </w:r>
          </w:p>
        </w:tc>
      </w:tr>
      <w:tr>
        <w:tc>
          <w:tcPr>
            <w:tcW w:type="dxa" w:w="2880"/>
          </w:tcPr>
          <w:p>
            <w:r>
              <w:t>Communication Briefing</w:t>
            </w:r>
          </w:p>
        </w:tc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Messaging, guidelines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Actions, testing, timeline</w:t>
            </w:r>
          </w:p>
        </w:tc>
      </w:tr>
      <w:tr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Supporting analysis</w:t>
            </w:r>
          </w:p>
        </w:tc>
      </w:tr>
    </w:tbl>
    <w:p>
      <w:pPr>
        <w:pStyle w:val="Heading1"/>
      </w:pPr>
      <w:r>
        <w:t>Success Criteria</w:t>
      </w:r>
    </w:p>
    <w:p>
      <w:r>
        <w:t>The engagement will be considered successful if it delivers:</w:t>
      </w:r>
    </w:p>
    <w:p>
      <w:r>
        <w:rPr>
          <w:b/>
        </w:rPr>
        <w:t xml:space="preserve">1. Strategic Clarity: </w:t>
      </w:r>
      <w:r>
        <w:t>Clear recommendation on focused vs. broad communication</w:t>
      </w:r>
    </w:p>
    <w:p>
      <w:r>
        <w:rPr>
          <w:b/>
        </w:rPr>
        <w:t xml:space="preserve">2. Segment Insight: </w:t>
      </w:r>
      <w:r>
        <w:t>Differentiated strategies for adult and youth segments</w:t>
      </w:r>
    </w:p>
    <w:p>
      <w:r>
        <w:rPr>
          <w:b/>
        </w:rPr>
        <w:t xml:space="preserve">3. Eligibility Solution: </w:t>
      </w:r>
      <w:r>
        <w:t>Framing that transforms eligibility from barrier to benefit</w:t>
      </w:r>
    </w:p>
    <w:p>
      <w:r>
        <w:rPr>
          <w:b/>
        </w:rPr>
        <w:t xml:space="preserve">4. Behavioural Grounding: </w:t>
      </w:r>
      <w:r>
        <w:t>Recommendations rooted in behavioural economics</w:t>
      </w:r>
    </w:p>
    <w:p>
      <w:r>
        <w:rPr>
          <w:b/>
        </w:rPr>
        <w:t xml:space="preserve">5. Practical Applicability: </w:t>
      </w:r>
      <w:r>
        <w:t>Communication briefing ready for implementation</w:t>
      </w:r>
    </w:p>
    <w:p>
      <w:r>
        <w:rPr>
          <w:b/>
        </w:rPr>
        <w:t xml:space="preserve">6. Measurable Outcomes: </w:t>
      </w:r>
      <w:r>
        <w:t>Clear metrics and testing framework</w:t>
      </w:r>
    </w:p>
    <w:p>
      <w:pPr>
        <w:pStyle w:val="Heading1"/>
      </w:pPr>
      <w:r>
        <w:t>BEATRIX Integration</w:t>
      </w:r>
    </w:p>
    <w:p>
      <w:r>
        <w:t>This engagement leverages the BEATRIX framework for systematic behavioural analysis:</w:t>
      </w:r>
    </w:p>
    <w:p>
      <w:pPr>
        <w:pStyle w:val="Heading2"/>
      </w:pPr>
      <w:r>
        <w:t>Key Behavioural Principles</w:t>
      </w:r>
    </w:p>
    <w:p>
      <w:pPr>
        <w:pStyle w:val="ListBullet"/>
      </w:pPr>
      <w:r>
        <w:rPr>
          <w:b/>
        </w:rPr>
        <w:t xml:space="preserve">Choice Architecture: </w:t>
      </w:r>
      <w:r>
        <w:t>How the offering is presented affects decisions</w:t>
      </w:r>
    </w:p>
    <w:p>
      <w:pPr>
        <w:pStyle w:val="ListBullet"/>
      </w:pPr>
      <w:r>
        <w:rPr>
          <w:b/>
        </w:rPr>
        <w:t xml:space="preserve">Mental Accounting: </w:t>
      </w:r>
      <w:r>
        <w:t>Customers categorise benefits into mental accounts</w:t>
      </w:r>
    </w:p>
    <w:p>
      <w:pPr>
        <w:pStyle w:val="ListBullet"/>
      </w:pPr>
      <w:r>
        <w:rPr>
          <w:b/>
        </w:rPr>
        <w:t xml:space="preserve">Social Preferences: </w:t>
      </w:r>
      <w:r>
        <w:t>Fairness preferences affect eligibility perception</w:t>
      </w:r>
    </w:p>
    <w:p>
      <w:pPr>
        <w:pStyle w:val="ListBullet"/>
      </w:pPr>
      <w:r>
        <w:rPr>
          <w:b/>
        </w:rPr>
        <w:t xml:space="preserve">Temporal Discounting: </w:t>
      </w:r>
      <w:r>
        <w:t>Immediate vs. future benefits affect activation</w:t>
      </w:r>
    </w:p>
    <w:p>
      <w:pPr>
        <w:pStyle w:val="Heading2"/>
      </w:pPr>
      <w:r>
        <w:t>Context Analysis (Psi-Framework)</w:t>
      </w:r>
    </w:p>
    <w:p>
      <w:pPr>
        <w:pStyle w:val="ListBullet"/>
      </w:pPr>
      <w:r>
        <w:rPr>
          <w:b/>
        </w:rPr>
        <w:t xml:space="preserve">Psi_I (Institutional): </w:t>
      </w:r>
      <w:r>
        <w:t>Banking relationships, eligibility rules</w:t>
      </w:r>
    </w:p>
    <w:p>
      <w:pPr>
        <w:pStyle w:val="ListBullet"/>
      </w:pPr>
      <w:r>
        <w:rPr>
          <w:b/>
        </w:rPr>
        <w:t xml:space="preserve">Psi_S (Social): </w:t>
      </w:r>
      <w:r>
        <w:t>Peer effects, social proof</w:t>
      </w:r>
    </w:p>
    <w:p>
      <w:pPr>
        <w:pStyle w:val="ListBullet"/>
      </w:pPr>
      <w:r>
        <w:rPr>
          <w:b/>
        </w:rPr>
        <w:t xml:space="preserve">Psi_C (Cognitive): </w:t>
      </w:r>
      <w:r>
        <w:t>Attention, processing fluency</w:t>
      </w:r>
    </w:p>
    <w:p>
      <w:pPr>
        <w:pStyle w:val="ListBullet"/>
      </w:pPr>
      <w:r>
        <w:rPr>
          <w:b/>
        </w:rPr>
        <w:t xml:space="preserve">Psi_K (Cultural): </w:t>
      </w:r>
      <w:r>
        <w:t>Swiss cultural values</w:t>
      </w:r>
    </w:p>
    <w:p>
      <w:pPr>
        <w:pStyle w:val="ListBullet"/>
      </w:pPr>
      <w:r>
        <w:rPr>
          <w:b/>
        </w:rPr>
        <w:t xml:space="preserve">Psi_E (Economic): </w:t>
      </w:r>
      <w:r>
        <w:t>Price sensitivity, discount perception</w:t>
      </w:r>
    </w:p>
    <w:p>
      <w:pPr>
        <w:pStyle w:val="ListBullet"/>
      </w:pPr>
      <w:r>
        <w:rPr>
          <w:b/>
        </w:rPr>
        <w:t xml:space="preserve">Psi_T (Temporal): </w:t>
      </w:r>
      <w:r>
        <w:t>Decision timing, seasonal effects</w:t>
      </w:r>
    </w:p>
    <w:p/>
    <w:p>
      <w:pPr>
        <w:jc w:val="center"/>
      </w:pPr>
      <w:r>
        <w:t>— End of Briefing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