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ummary-xcite-a1-youth"/>
    <w:p>
      <w:pPr>
        <w:pStyle w:val="Heading1"/>
      </w:pPr>
      <w:r>
        <w:t xml:space="preserve">Summary: Xcite → A1 Youth</w:t>
      </w:r>
    </w:p>
    <w:bookmarkStart w:id="20" w:name="X4f5a6bac0d684575cd0b99d4cf3d3add7ab4b2b"/>
    <w:p>
      <w:pPr>
        <w:pStyle w:val="Heading2"/>
      </w:pPr>
      <w:r>
        <w:t xml:space="preserve">Simulationsergebnisse &amp; Name-Bewertung nach Performance-Indikatoren</w:t>
      </w:r>
    </w:p>
    <w:p>
      <w:pPr>
        <w:pStyle w:val="FirstParagraph"/>
      </w:pPr>
      <w:r>
        <w:rPr>
          <w:bCs/>
          <w:b/>
        </w:rPr>
        <w:t xml:space="preserve">A1 Telekom Austria | FehrAdvice &amp; Partners AG</w:t>
      </w:r>
      <w:r>
        <w:t xml:space="preserve"> </w:t>
      </w:r>
      <w:r>
        <w:rPr>
          <w:bCs/>
          <w:b/>
        </w:rPr>
        <w:t xml:space="preserve">Session:</w:t>
      </w:r>
      <w:r>
        <w:t xml:space="preserve"> </w:t>
      </w:r>
      <w:r>
        <w:t xml:space="preserve">EBF-S-2026-02-20-ORG-001 ·</w:t>
      </w:r>
      <w:r>
        <w:t xml:space="preserve"> </w:t>
      </w:r>
      <w:r>
        <w:rPr>
          <w:bCs/>
          <w:b/>
        </w:rPr>
        <w:t xml:space="preserve">Modell:</w:t>
      </w:r>
      <w:r>
        <w:t xml:space="preserve"> </w:t>
      </w:r>
      <w:r>
        <w:t xml:space="preserve">MOD-TEL-001 v1.2.1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2026-02-20 ·</w:t>
      </w:r>
      <w:r>
        <w:t xml:space="preserve"> </w:t>
      </w:r>
      <w:r>
        <w:rPr>
          <w:bCs/>
          <w:b/>
        </w:rPr>
        <w:t xml:space="preserve">Vertraulich</w:t>
      </w:r>
    </w:p>
    <w:p>
      <w:r>
        <w:pict>
          <v:rect style="width:0;height:1.5pt" o:hralign="center" o:hrstd="t" o:hr="t"/>
        </w:pict>
      </w:r>
    </w:p>
    <w:bookmarkEnd w:id="20"/>
    <w:bookmarkStart w:id="21" w:name="ausgangslage-und-fragestellung"/>
    <w:p>
      <w:pPr>
        <w:pStyle w:val="Heading2"/>
      </w:pPr>
      <w:r>
        <w:t xml:space="preserve">1. Ausgangslage und Fragestellung</w:t>
      </w:r>
    </w:p>
    <w:p>
      <w:pPr>
        <w:pStyle w:val="FirstParagraph"/>
      </w:pPr>
      <w:r>
        <w:t xml:space="preserve">A1 Telekom Austria betreibt im Youth-Segment (18–29) den Tarif «Xcite». Trotz 50% spontaner Markenbekanntheit nutzen nur 13% der Zielgruppe Xcite aktiv — eine Conviction Gap von 37 Prozentpunkten. Parallel dazu verfolgt A1 die «ATTACK»-Strategie mit dem Ziel, die Net Adds im Youth-Segment zu verdoppeln.</w:t>
      </w:r>
    </w:p>
    <w:p>
      <w:pPr>
        <w:pStyle w:val="BodyText"/>
      </w:pPr>
      <w:r>
        <w:rPr>
          <w:bCs/>
          <w:b/>
        </w:rPr>
        <w:t xml:space="preserve">Kernfrage:</w:t>
      </w:r>
      <w:r>
        <w:t xml:space="preserve"> </w:t>
      </w:r>
      <w:r>
        <w:t xml:space="preserve">Welcher Tarif-Name leistet den grössten Beitrag zu Awareness-Steigerung und Umsatzwachstum — bei gleichzeitiger Minimierung des Churn-Risikos durch die Umbenennung?</w:t>
      </w:r>
    </w:p>
    <w:p>
      <w:pPr>
        <w:pStyle w:val="BodyText"/>
      </w:pPr>
      <w:r>
        <w:t xml:space="preserve">Die vorliegende Analyse bewertet vier Namens-Kandidaten anhand von zwei Performance-Indikatoren: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Awareness-Steigerung:</w:t>
      </w:r>
      <w:r>
        <w:t xml:space="preserve"> </w:t>
      </w:r>
      <w:r>
        <w:t xml:space="preserve">Spontan-Awareness, Category Clarity, Differenzierungspotenzial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Umsatzmenge:</w:t>
      </w:r>
      <w:r>
        <w:t xml:space="preserve"> </w:t>
      </w:r>
      <w:r>
        <w:t xml:space="preserve">(a) Churn-Risiko durch Umbenennung und (b) Akquisitions-Potenzial nach Umbenennung</w:t>
      </w:r>
    </w:p>
    <w:p>
      <w:pPr>
        <w:pStyle w:val="BodyText"/>
      </w:pPr>
      <w:r>
        <w:rPr>
          <w:bCs/>
          <w:b/>
        </w:rPr>
        <w:t xml:space="preserve">Methodik:</w:t>
      </w:r>
      <w:r>
        <w:t xml:space="preserve"> </w:t>
      </w:r>
      <w:r>
        <w:t xml:space="preserve">EBF-Simulation (MOD-TEL-001 v1.2.1) auf Basis von 7 Primärdatenquellen — darunter Focus Groups Urban Youth AT (n=32, Jan 2026), JTBD ConsumerLifetime (n=2.134), Urban Push Vienna Wave 1+2 (n≈3.000) und Sinus Milieu Youth Concept AT 2024. Die Simulation wurde für 3 Sinus-Milieu-Personas (Hedonisten, Kosmopolitische Individualisten, Adaptiv-Pragmatische Mitte) durchgeführt, die zusammen ~85% der Xcite-Bestandsbasis abdecken.</w:t>
      </w:r>
    </w:p>
    <w:p>
      <w:r>
        <w:pict>
          <v:rect style="width:0;height:1.5pt" o:hralign="center" o:hrstd="t" o:hr="t"/>
        </w:pict>
      </w:r>
    </w:p>
    <w:bookmarkEnd w:id="21"/>
    <w:bookmarkStart w:id="22" w:name="Xbc18cbba9cc55b60f82b7759c4161fd9b7e79bf"/>
    <w:p>
      <w:pPr>
        <w:pStyle w:val="Heading2"/>
      </w:pPr>
      <w:r>
        <w:t xml:space="preserve">2. Gesamtergebnis der Simulation: 4 Namens-Kandidaten im Vergleich</w:t>
      </w:r>
    </w:p>
    <w:p>
      <w:pPr>
        <w:pStyle w:val="FirstParagraph"/>
      </w:pPr>
      <w:r>
        <w:t xml:space="preserve">Die Simulation berechnet für jeden Kandidaten einen Composite Score (0–10) und eine Win-Probability gegenüber einem modellhaften Mitbewerber-Angebot auf Basis der EBF-Utility-Funktion (U = w_F·u_F + w_S·u_S + w_P·u_P + w_E·u_E + γ-Terme).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712"/>
        <w:gridCol w:w="1819"/>
        <w:gridCol w:w="2033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Win-Probability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Kategorie-Klarheit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Youth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9.46 /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Empfohlen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Jugend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Segment-spezifisch akzeptabel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Nicht empfohlen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Xcite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Strategische Sackgasse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Fazit:</w:t>
      </w:r>
      <w:r>
        <w:t xml:space="preserve"> </w:t>
      </w:r>
      <w:r>
        <w:t xml:space="preserve">A1 Youth gewinnt die Simulation klar. Der Abstand zu Xcite ist mit 5,5 Composite-Punkten und 40pp Win-Probability strategisch entscheidend. A1 Jugend ist die einzige Alternative mit vertretbarer Performance, scheitert aber beim wichtigsten Milieu (Hedonisten). A1 Young wird aus Wettbewerbs-Gründen abgelehnt.</w:t>
      </w:r>
    </w:p>
    <w:p>
      <w:r>
        <w:pict>
          <v:rect style="width:0;height:1.5pt" o:hralign="center" o:hrstd="t" o:hr="t"/>
        </w:pict>
      </w:r>
    </w:p>
    <w:bookmarkEnd w:id="22"/>
    <w:bookmarkStart w:id="25" w:name="Xde2b8e60de8d086dd540f284cd3c05ed9911faa"/>
    <w:p>
      <w:pPr>
        <w:pStyle w:val="Heading2"/>
      </w:pPr>
      <w:r>
        <w:t xml:space="preserve">3. Performance-Indikator I: Awareness-Steigerung</w:t>
      </w:r>
    </w:p>
    <w:bookmarkStart w:id="23" w:name="ausgangslage-xcite-awareness-ist-wertlos"/>
    <w:p>
      <w:pPr>
        <w:pStyle w:val="Heading3"/>
      </w:pPr>
      <w:r>
        <w:t xml:space="preserve">3.1 Ausgangslage: Xcite-Awareness ist wertlos</w:t>
      </w:r>
    </w:p>
    <w:p>
      <w:pPr>
        <w:pStyle w:val="FirstParagraph"/>
      </w:pPr>
      <w:r>
        <w:t xml:space="preserve">Die Primärdaten zeigen eine strukturelle Paradoxie: Xcite hat</w:t>
      </w:r>
      <w:r>
        <w:t xml:space="preserve"> </w:t>
      </w:r>
      <w:r>
        <w:rPr>
          <w:bCs/>
          <w:b/>
        </w:rPr>
        <w:t xml:space="preserve">50% Spontan-Awareness</w:t>
      </w:r>
      <w:r>
        <w:t xml:space="preserve"> </w:t>
      </w:r>
      <w:r>
        <w:t xml:space="preserve">— aber in Focus Groups (n=32, Urban Youth Wien) wird Xcite als Anbieter spontan nicht genannt. Awareness ohne Conviction ist operativ wertlos; sie schlägt sich weder in Empfehlungen noch in Neuabschlüssen nieder.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Xcite (heute)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Youth (Ziel 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Spontan-Awareness 18–26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Rate (Awareness → Kauf)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23% (+10pp)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Conviction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&lt;20pp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Clarity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Empfehlungsbereitschaft (proxy NPS)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+15pp (P9)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 nach Kandidat:</w:t>
      </w:r>
    </w:p>
    <w:p>
      <w:pPr>
        <w:pStyle w:val="BodyText"/>
      </w:pPr>
      <w:r>
        <w:rPr>
          <w:bCs/>
          <w:b/>
        </w:rPr>
        <w:t xml:space="preserve">A1 Youth</w:t>
      </w:r>
      <w:r>
        <w:t xml:space="preserve"> </w:t>
      </w:r>
      <w:r>
        <w:t xml:space="preserve">schafft Category Clarity (8/10): Der Name kommuniziert Zielgruppe («Youth») und Träger («A1») in zwei Silben. Er ist online-suchfähig, unterscheidet sich von Magenta Mobile Young durch explizite A1-Klammer und erschliesst SEO-Potenzial, das «Xcite» strukturell blockiert.</w:t>
      </w:r>
    </w:p>
    <w:p>
      <w:pPr>
        <w:pStyle w:val="BodyText"/>
      </w:pPr>
      <w:r>
        <w:rPr>
          <w:bCs/>
          <w:b/>
        </w:rPr>
        <w:t xml:space="preserve">A1 Jugend</w:t>
      </w:r>
      <w:r>
        <w:t xml:space="preserve"> </w:t>
      </w:r>
      <w:r>
        <w:t xml:space="preserve">erreicht vergleichbare Klarheit (7/10), hat aber einen entscheidenden Nachteil: Das Wort «Jugend» ist im Hedonisten-Milieu (30% der Basis, grösstes Churn-Risiko) explizit kontraproduktiv. In Focus Groups löste «Jugend»-Sprache soziale Kosten-Assoziationen aus («klingt wie ein Seniorentarif für Kinder»). Die Awareness-Steigerung ist nominal vorhanden, aber zielgruppenspezifisch gebremst.</w:t>
      </w:r>
    </w:p>
    <w:p>
      <w:pPr>
        <w:pStyle w:val="BodyText"/>
      </w:pPr>
      <w:r>
        <w:rPr>
          <w:bCs/>
          <w:b/>
        </w:rPr>
        <w:t xml:space="preserve">A1 Young</w:t>
      </w:r>
      <w:r>
        <w:t xml:space="preserve"> </w:t>
      </w:r>
      <w:r>
        <w:t xml:space="preserve">hat eine kritische Awareness-Schwäche: Verwechslung mit Magenta Mobile Young. Im Markt Wien — wo A1 bei Youth-Mobile nur auf Platz 3 (19%) liegt — würde A1 Young ohne explizite Differenzierungskampagne Marktanteile an Magenta abgeben statt aufbauen. Die Kategorie-Klarheit bricht auf 4/10 ein.</w:t>
      </w:r>
    </w:p>
    <w:p>
      <w:pPr>
        <w:pStyle w:val="BodyText"/>
      </w:pPr>
      <w:r>
        <w:rPr>
          <w:bCs/>
          <w:b/>
        </w:rPr>
        <w:t xml:space="preserve">Xcite</w:t>
      </w:r>
      <w:r>
        <w:t xml:space="preserve"> </w:t>
      </w:r>
      <w:r>
        <w:t xml:space="preserve">hat strukturell kein Awareness-Problem, aber ein Conviction-Problem. Ein Name, der keine Zielgruppe, keinen Wert und keine Herkunft kommuniziert, kann durch Kommunikations-Massnahmen nicht grundlegend verbessert werden. 37pp Conversion-Gap bei 50% Awareness ist das Modell-Ergebnis für «maximale Bekanntheit, minimale Überzeugung».</w:t>
      </w:r>
    </w:p>
    <w:bookmarkEnd w:id="23"/>
    <w:bookmarkStart w:id="24" w:name="X513a821fd1b36074218f2a2396ae3d47492b9aa"/>
    <w:p>
      <w:pPr>
        <w:pStyle w:val="Heading3"/>
      </w:pPr>
      <w:r>
        <w:t xml:space="preserve">3.2 Erwartete Awareness-Entwicklung nach Umbenennung</w:t>
      </w:r>
    </w:p>
    <w:p>
      <w:pPr>
        <w:pStyle w:val="FirstParagraph"/>
      </w:pPr>
      <w:r>
        <w:t xml:space="preserve">Bei Umbenennung zu A1 Youth projiziert das Modell: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354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M+6 (Ziel)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Spontan-Awareness «A1 Youth» 18–26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Monitor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Unaided Awareness 18–26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Monitor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Clarity Score A1 Youth 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Online-Findbarkeit (SEO «A1 Jugendtarif»)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messbar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 Console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5" w:name="performance-indikator-ii-umsatzmenge"/>
    <w:p>
      <w:pPr>
        <w:pStyle w:val="Heading2"/>
      </w:pPr>
      <w:r>
        <w:t xml:space="preserve">4. Performance-Indikator II: Umsatzmenge</w:t>
      </w:r>
    </w:p>
    <w:bookmarkStart w:id="30" w:name="risiko-churn-durch-umbenennung"/>
    <w:p>
      <w:pPr>
        <w:pStyle w:val="Heading3"/>
      </w:pPr>
      <w:r>
        <w:t xml:space="preserve">4.1 Risiko: Churn durch Umbenennung</w:t>
      </w:r>
    </w:p>
    <w:bookmarkStart w:id="26" w:name="verhaltenstheoretischer-mechanismus"/>
    <w:p>
      <w:pPr>
        <w:pStyle w:val="Heading4"/>
      </w:pPr>
      <w:r>
        <w:t xml:space="preserve">Verhaltenstheoretischer Mechanismus</w:t>
      </w:r>
    </w:p>
    <w:p>
      <w:pPr>
        <w:pStyle w:val="FirstParagraph"/>
      </w:pPr>
      <w:r>
        <w:t xml:space="preserve">Der zentrale Risikotreiber ist die</w:t>
      </w:r>
      <w:r>
        <w:t xml:space="preserve"> </w:t>
      </w:r>
      <w:r>
        <w:rPr>
          <w:bCs/>
          <w:b/>
        </w:rPr>
        <w:t xml:space="preserve">Loss Aversion</w:t>
      </w:r>
      <w:r>
        <w:t xml:space="preserve"> </w:t>
      </w:r>
      <w:r>
        <w:t xml:space="preserve">(λ = 2.1), kalibriert aus JTBD-Studie AT (n=2.134, 2025). Kund:innen gewichten einen Verlust 2,1-mal schwerer als einen äquivalenten Gewinn. Jede Umbenennung, die als «Abschied von Xcite» gerahmt wird, aktiviert Verlustaversion — selbst wenn objektiv kein Preis, kein Volumen und keine Rufnummer sich ändert.</w:t>
      </w:r>
    </w:p>
    <w:p>
      <w:pPr>
        <w:pStyle w:val="BodyText"/>
      </w:pPr>
      <w:r>
        <w:rPr>
          <w:bCs/>
          <w:b/>
        </w:rPr>
        <w:t xml:space="preserve">Modellschätzung ohne Intervention:</w:t>
      </w:r>
      <w:r>
        <w:t xml:space="preserve"> </w:t>
      </w:r>
      <w:r>
        <w:t xml:space="preserve">+3–5pp Churn im Übergangszeitraum.</w:t>
      </w:r>
      <w:r>
        <w:t xml:space="preserve"> </w:t>
      </w:r>
      <w:r>
        <w:rPr>
          <w:bCs/>
          <w:b/>
        </w:rPr>
        <w:t xml:space="preserve">Monetärer Wert (konservativ, λ=2.1-adjustiert):</w:t>
      </w:r>
      <w:r>
        <w:t xml:space="preserve"> </w:t>
      </w:r>
      <w:r>
        <w:t xml:space="preserve">−€640k Transitional Churn Cost.</w:t>
      </w:r>
    </w:p>
    <w:bookmarkEnd w:id="26"/>
    <w:bookmarkStart w:id="27" w:name="churn-risiko-nach-kandidat"/>
    <w:p>
      <w:pPr>
        <w:pStyle w:val="Heading4"/>
      </w:pPr>
      <w:r>
        <w:t xml:space="preserve">Churn-Risiko nach Kandidat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2457"/>
        <w:gridCol w:w="2594"/>
        <w:gridCol w:w="15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Churn-Mechanismus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Geschätztes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Youth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Loss-Frame-Reversal möglich; Identity 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+1–2pp</w:t>
            </w:r>
            <w:r>
              <w:t xml:space="preserve"> </w:t>
            </w:r>
            <w:r>
              <w:t xml:space="preserve">(mit Messaging)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Jugend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Soziale Kosten bei Hedonisten; Differenzierungsproblem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+2–4pp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Teilweise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Magenta-Confusion; aktiver Wechsel-Trigger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+4–7pp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Xcite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Conviction Gap bleibt; langsamer struktureller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0pp (kurzfristig) +X pp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Kritische Differenzierung nach Milieu: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2"/>
        <w:gridCol w:w="1450"/>
        <w:gridCol w:w="1896"/>
        <w:gridCol w:w="1896"/>
        <w:gridCol w:w="17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A1 Youth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A1 Jugend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A1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Hedonisten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Adaptiv-Pragmatisch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Kosmopolit. Individualisten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HVV gesamt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LVV gesamt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</w:tr>
    </w:tbl>
    <w:p>
      <w:pPr>
        <w:pStyle w:val="BodyText"/>
      </w:pPr>
      <w:r>
        <w:t xml:space="preserve">* MEDIUM bei A1 Youth = steuerbar durch Loss-Frame-Reversal-Messaging (Variante B/C)</w:t>
      </w:r>
      <w:r>
        <w:t xml:space="preserve"> </w:t>
      </w:r>
      <w:r>
        <w:t xml:space="preserve">** LVV nutzt jeden Rename als Exit-Fenster — unabhängig vom Namen</w:t>
      </w:r>
    </w:p>
    <w:p>
      <w:pPr>
        <w:pStyle w:val="BodyText"/>
      </w:pPr>
      <w:r>
        <w:rPr>
          <w:bCs/>
          <w:b/>
        </w:rPr>
        <w:t xml:space="preserve">Hedonisten-Sonderfall (Simulation):</w:t>
      </w:r>
      <w:r>
        <w:t xml:space="preserve"> </w:t>
      </w:r>
      <w:r>
        <w:t xml:space="preserve">Die Focus-Group-Simulation zeigt, dass Hedonisten auf den Namen «A1 Young» mit der Aussage «dann geh ich halt zu Magenta» reagierten. Auf «A1 Youth» war die Reaktion positiver — die Ablehnung trat nur dann auf, wenn das Creative «jugendlich» statt «Crew/Identität» kommunizierte. Dies bestätigt: der Name allein ist nicht ausreichend; das Creative muss die Abgrenzung zu Magenta Mobile Young durch Eigenständigkeit, nicht durch direkten Vergleich, leisten.</w:t>
      </w:r>
    </w:p>
    <w:p>
      <w:pPr>
        <w:pStyle w:val="BodyText"/>
      </w:pPr>
      <w:r>
        <w:rPr>
          <w:bCs/>
          <w:b/>
        </w:rPr>
        <w:t xml:space="preserve">Adaptiv-Pragmatische Sonderfall (Simulation):</w:t>
      </w:r>
      <w:r>
        <w:t xml:space="preserve"> </w:t>
      </w:r>
      <w:r>
        <w:t xml:space="preserve">Einziges Milieu, in dem «A1 Jugend» in der Simulation knapp gewann (54% vs. A1 Youth 47%). Die funktionale Klarheit des Begriffs «Jugend» wirkt auf dieses Segment positiv. Das Gesamtergebnis bleibt dennoch eindeutig für A1 Youth, da Adaptiv-Pragmatisch nicht das Milieu mit dem höchsten Churn-Risiko ist.</w:t>
      </w:r>
    </w:p>
    <w:bookmarkEnd w:id="27"/>
    <w:bookmarkStart w:id="28" w:name="zusatz-multiplikatoren-jtbd-n2.134"/>
    <w:p>
      <w:pPr>
        <w:pStyle w:val="Heading4"/>
      </w:pPr>
      <w:r>
        <w:t xml:space="preserve">Zusatz-Multiplikatoren (JTBD n=2.134)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Churn-Multiplikator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Kundenservice-Kontakt nötig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SMS/E-Mail nicht gelesen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2.2× (bei Hard-Cutover)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App-Benachrichtigung ignoriert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1.8×</w:t>
            </w:r>
          </w:p>
        </w:tc>
      </w:tr>
    </w:tbl>
    <w:p>
      <w:pPr>
        <w:pStyle w:val="BodyText"/>
      </w:pPr>
      <w:r>
        <w:t xml:space="preserve">Die 38%-«Passive-Gruppe» (ρ_tech = 0.38, Status-Quo-Bias) reagiert nicht aktiv auf Kommunikation. Diese Gruppe benötigt Default-Framing («es passiert automatisch für dich») statt Opt-In-Einladungen.</w:t>
      </w:r>
    </w:p>
    <w:bookmarkEnd w:id="28"/>
    <w:bookmarkStart w:id="29" w:name="fazit-churn-risiko-nach-kandidat"/>
    <w:p>
      <w:pPr>
        <w:pStyle w:val="Heading4"/>
      </w:pPr>
      <w:r>
        <w:t xml:space="preserve">Fazit Churn-Risiko nach Kandidat</w:t>
      </w:r>
    </w:p>
    <w:p>
      <w:pPr>
        <w:pStyle w:val="FirstParagraph"/>
      </w:pPr>
      <w:r>
        <w:t xml:space="preserve">A1 Youth ist der einzige Kandidat, bei dem das Churn-Risiko durch konsequentes</w:t>
      </w:r>
      <w:r>
        <w:t xml:space="preserve"> </w:t>
      </w:r>
      <w:r>
        <w:rPr>
          <w:bCs/>
          <w:b/>
        </w:rPr>
        <w:t xml:space="preserve">Loss-Frame-Reversal</w:t>
      </w:r>
      <w:r>
        <w:t xml:space="preserve"> </w:t>
      </w:r>
      <w:r>
        <w:t xml:space="preserve">(Xcite als Defizit framen, nicht als Verlust) auf +2pp kumulativ gedeckelt werden kann. Bei A1 Young und A1 Jugend verbleiben strukturelle Risiken, die durch Kommunikation nicht vollständig neutralisierbar sind.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21622b2c1c99af6e540df61d0c11fbbb3aaaf4f"/>
    <w:p>
      <w:pPr>
        <w:pStyle w:val="Heading3"/>
      </w:pPr>
      <w:r>
        <w:t xml:space="preserve">4.2 Potenzial: Umsatzwachstum durch Umbenennung</w:t>
      </w:r>
    </w:p>
    <w:bookmarkStart w:id="31" w:name="X98586d8000e44a9dbd487c6aa44e949d1dedc30"/>
    <w:p>
      <w:pPr>
        <w:pStyle w:val="Heading4"/>
      </w:pPr>
      <w:r>
        <w:t xml:space="preserve">Ausgangspunkt: Xcite blockiert das Wachstum strukturell</w:t>
      </w:r>
    </w:p>
    <w:p>
      <w:pPr>
        <w:pStyle w:val="FirstParagraph"/>
      </w:pPr>
      <w:r>
        <w:t xml:space="preserve">Der 37pp Conviction Gap (50% Awareness → 13% Usage) ist keine Kommunikationslücke, sondern ein Name-Produkt-Fit-Problem. «Xcite» kommuniziert keine Zielgruppe, keinen Wert und keine Herkunft — und kann damit die zentrale Voraussetzung für Empfehlungs-Mechanismen (Social Proof, Word of Mouth, Online-Suche) nicht erfüllen. Die ATTACK-Strategie (Verdoppelung Net Adds) ist mit «Xcite» als Produktname strukturell gebremst.</w:t>
      </w:r>
    </w:p>
    <w:bookmarkEnd w:id="31"/>
    <w:bookmarkStart w:id="32" w:name="X0706bfc6b16c648f79ffa435165a236fe8ef862"/>
    <w:p>
      <w:pPr>
        <w:pStyle w:val="Heading4"/>
      </w:pPr>
      <w:r>
        <w:t xml:space="preserve">Wachstumspotenzial A1 Youth (Modellprojektionen)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18"/>
        <w:gridCol w:w="2103"/>
        <w:gridCol w:w="321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(Xcite)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Projektion A1 Youth 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Xcite/Youth-Conversions pro 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23.500</w:t>
            </w:r>
            <w:r>
              <w:t xml:space="preserve"> </w:t>
            </w:r>
            <w:r>
              <w:t xml:space="preserve">(+42%)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Youth-Akquisitionen 15–26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 Aktivierungen MoM (M4–M6)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+15% 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A1-Marktanteil Kosmopoliten Wien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20%</w:t>
            </w:r>
            <w:r>
              <w:t xml:space="preserve"> </w:t>
            </w:r>
            <w:r>
              <w:t xml:space="preserve">(+7pp)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Xcite-Churn nach Conviction-Gap-Schliessung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&lt;1.4%/Mo</w:t>
            </w:r>
            <w:r>
              <w:t xml:space="preserve"> </w:t>
            </w:r>
            <w:r>
              <w:t xml:space="preserve">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DWH</w:t>
            </w:r>
          </w:p>
        </w:tc>
      </w:tr>
    </w:tbl>
    <w:p>
      <w:pPr>
        <w:pStyle w:val="BodyText"/>
      </w:pPr>
      <w:r>
        <w:rPr>
          <w:bCs/>
          <w:b/>
        </w:rPr>
        <w:t xml:space="preserve">Wachstumsmechanismen nach A1 Youth: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Conviction Gap schliessen (I3 — P4/P9):</w:t>
      </w:r>
      <w:r>
        <w:t xml:space="preserve"> </w:t>
      </w:r>
      <w:r>
        <w:t xml:space="preserve">Loss-Frame-Messaging konvertiert awareness-bereite, aber unüberzeugte Zielgruppen. Projektion: +23% CTR auf Xcite/Youth-Landingpage → +10pp Conversion-Rate. Aus 50% Awareness wird bei 23% Usage statt 13% — das sind ca. 7.000 zusätzliche Abschlüsse p.a. aus bestehendem Awareness-Pool.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Category Clarity × Word of Mouth:</w:t>
      </w:r>
      <w:r>
        <w:t xml:space="preserve"> </w:t>
      </w:r>
      <w:r>
        <w:t xml:space="preserve">«A1 Youth» ist empfehlbar; «Xcite» nicht. Für die Zielgruppe 18–26 ist Peer-Referral der wichtigste Kanal (γ_SE=+0.22 allgemein; γ_SE_kos=+0.35 für Kosmopoliten). Ein Name, der in einem Satz erklärbar ist, multipliziert den Social-Proof-Effekt.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SEO und Vergleichsportale:</w:t>
      </w:r>
      <w:r>
        <w:t xml:space="preserve"> </w:t>
      </w:r>
      <w:r>
        <w:t xml:space="preserve">«A1 Jugendtarif», «Handytarif für Jugendliche Österreich» sind suchfähige Keywords, die Xcite strukturell nicht besetzt. A1 Youth öffnet diesen Kanal sofort nach Soft-Launch (M3).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Kosmopoliten-Potenzial (P10):</w:t>
      </w:r>
      <w:r>
        <w:t xml:space="preserve"> </w:t>
      </w:r>
      <w:r>
        <w:t xml:space="preserve">Die grösste Wachstumslücke im Modell. A1 liegt bei Kosmopoliten Wien bei 13% — Magenta bei 22%. γ_SE_kos=+0.35 zeigt: Identitäts-Messaging kombiniert mit einem Namen, der Identität erlaubt, kann diesen Gap schliessen. A1 Youth ermöglicht das; «Xcite» und «A1 Jugend» nicht.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Pick-and-Swap (Sommer 2026) × A1 Youth:</w:t>
      </w:r>
      <w:r>
        <w:t xml:space="preserve"> </w:t>
      </w:r>
      <w:r>
        <w:t xml:space="preserve">Die Kombination aus einem namens-klaren Tarif und einem Flexibilitäts-Angebot adressiert gleichzeitig u_F (Flexibility-Job, JTBD) und reduziert den Crowding-Out-Koeffizient γ_FS=−0.35. Projektion: Youth Churn 1.8% → &lt;1.4% in 12M (P14).</w:t>
      </w:r>
    </w:p>
    <w:bookmarkEnd w:id="32"/>
    <w:bookmarkStart w:id="33" w:name="warum-a1-jugend-das-potenzial-begrenzt"/>
    <w:p>
      <w:pPr>
        <w:pStyle w:val="Heading4"/>
      </w:pPr>
      <w:r>
        <w:t xml:space="preserve">Warum A1 Jugend das Potenzial begrenzt</w:t>
      </w:r>
    </w:p>
    <w:p>
      <w:pPr>
        <w:pStyle w:val="FirstParagraph"/>
      </w:pPr>
      <w:r>
        <w:t xml:space="preserve">A1 Jugend funktioniert für Adaptiv-Pragmatische (ca. 35% der Basis) — aber das Wachstumspotenzial liegt primär bei Kosmopolitischen Individualisten und Hedonisten. Beide Milieus reagieren negativ auf «Jugend»-Sprache: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Hedonisten:</w:t>
      </w:r>
      <w:r>
        <w:t xml:space="preserve"> </w:t>
      </w:r>
      <w:r>
        <w:t xml:space="preserve">«Jugend» ist im Creative explizit verboten (Focus Groups, F4)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Kosmopoliten:</w:t>
      </w:r>
      <w:r>
        <w:t xml:space="preserve"> </w:t>
      </w:r>
      <w:r>
        <w:t xml:space="preserve">γ_SE_kos=+0.35 entfaltet sich nur bei Identity-Forward-Namen; «Jugend» aktiviert diesen Koeffizienten nicht</w:t>
      </w:r>
    </w:p>
    <w:p>
      <w:pPr>
        <w:pStyle w:val="FirstParagraph"/>
      </w:pPr>
      <w:r>
        <w:t xml:space="preserve">Ein Name, der das Hauptwachstumssegment (Kosmopoliten) nicht anspricht und beim Hauptrisikosegment (Hedonisten) kontraproduktiv ist, kann die ATTACK-Ambition nicht tragen.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X4e735de7697102f89dc592ca0b66cd8126d008f"/>
    <w:p>
      <w:pPr>
        <w:pStyle w:val="Heading2"/>
      </w:pPr>
      <w:r>
        <w:t xml:space="preserve">5. Gesamtbewertung: Namen vs. Performance-Indikatoren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1650"/>
        <w:gridCol w:w="1815"/>
        <w:gridCol w:w="1485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Youth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Jugend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Awareness-Steigerung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Stark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Schwach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Conviction Gap schliessen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37pp → ~20pp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37pp → ~25pp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keine Verbesserung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Status quo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Churn-Risiko (Transition)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+1–2pp (steuerbar)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+2–4pp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+4–7pp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Umsatzpotenzial (Net Adds)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+42%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unklar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Kosmopoliten-Wachstum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13% → 20% (P10)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kein γ_SE-Effekt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Magenta-Confusion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Kein Effekt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Hedonisten-Retention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 richtigem 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«Jugend»-Risiko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Magenta-Defection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Kein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Wettbewerbs-Differenzierung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eigenständig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eigenständig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Magenta-Overlap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unsichtbar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Win-Probability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ritische-bedingungen-für-a1-youth"/>
    <w:p>
      <w:pPr>
        <w:pStyle w:val="Heading2"/>
      </w:pPr>
      <w:r>
        <w:t xml:space="preserve">6. Kritische Bedingungen für A1 Youth</w:t>
      </w:r>
    </w:p>
    <w:p>
      <w:pPr>
        <w:pStyle w:val="FirstParagraph"/>
      </w:pPr>
      <w:r>
        <w:t xml:space="preserve">Die Simulation zeigt A1 Youth als eindeutigen Gewinner — unter einer entscheidenden Bedingung:</w:t>
      </w:r>
      <w:r>
        <w:t xml:space="preserve"> </w:t>
      </w:r>
      <w:r>
        <w:rPr>
          <w:bCs/>
          <w:b/>
        </w:rPr>
        <w:t xml:space="preserve">Das Creative muss den Namen «Youth» als Identitäts-Marker setzen, nicht als Alters-Deskriptor.</w:t>
      </w:r>
    </w:p>
    <w:p>
      <w:pPr>
        <w:pStyle w:val="BodyText"/>
      </w:pPr>
      <w:r>
        <w:t xml:space="preserve">Drei Risiken, die die Simulation identifiziert hat, bleiben bei A1 Youth aktiv: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394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Eintrittswahrsch.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Gegensteuerung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Hedonisten: «Youth» = Magenta-Nähe (schlechtes Creative)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Eigenständige Positionierung; kein «Young»-Vocabulary; Crew-Framing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LVV nutzt Rename als Exit-Gelegenheit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(strukturell)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Opt-In; Default-Framing; Variante C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38%-Passive-Gruppe überrascht vom Hard-Cutover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Intention Push M5; Xcite im System hinterlegt</w:t>
            </w:r>
          </w:p>
        </w:tc>
      </w:tr>
    </w:tbl>
    <w:p>
      <w:pPr>
        <w:pStyle w:val="BodyText"/>
      </w:pPr>
      <w:r>
        <w:t xml:space="preserve">Das NPS-Risiko Internet Youth (−11.5, Okt 2025, kritisch fallend) ist</w:t>
      </w:r>
      <w:r>
        <w:t xml:space="preserve"> </w:t>
      </w:r>
      <w:r>
        <w:rPr>
          <w:bCs/>
          <w:b/>
        </w:rPr>
        <w:t xml:space="preserve">unabhängig vom Namens-Entscheid</w:t>
      </w:r>
      <w:r>
        <w:t xml:space="preserve"> </w:t>
      </w:r>
      <w:r>
        <w:t xml:space="preserve">zu lösen. Ein NPS-Einbruch während der Transition-Phase potenziert alle Churn-Multiplikatoren und gefährdet die Umsatzprojektionen.</w:t>
      </w:r>
    </w:p>
    <w:p>
      <w:r>
        <w:pict>
          <v:rect style="width:0;height:1.5pt" o:hralign="center" o:hrstd="t" o:hr="t"/>
        </w:pict>
      </w:r>
    </w:p>
    <w:bookmarkEnd w:id="37"/>
    <w:bookmarkStart w:id="38" w:name="fazit"/>
    <w:p>
      <w:pPr>
        <w:pStyle w:val="Heading2"/>
      </w:pPr>
      <w:r>
        <w:t xml:space="preserve">7. Fazit</w:t>
      </w:r>
    </w:p>
    <w:p>
      <w:pPr>
        <w:pStyle w:val="FirstParagraph"/>
      </w:pPr>
      <w:r>
        <w:rPr>
          <w:bCs/>
          <w:b/>
        </w:rPr>
        <w:t xml:space="preserve">«A1 Youth» ist der einzige Kandidat, der beide Performance-Indikatoren gleichzeitig erfüllt.</w:t>
      </w:r>
    </w:p>
    <w:p>
      <w:pPr>
        <w:pStyle w:val="BodyText"/>
      </w:pPr>
      <w:r>
        <w:t xml:space="preserve">Awareness-seitig: Category Clarity 8/10 vs. Xcite 2/10. Ein Name, der online-suchfähig ist, in einem Satz erklärt werden kann, und Peer-Referral-Mechanismen aktiviert.</w:t>
      </w:r>
    </w:p>
    <w:p>
      <w:pPr>
        <w:pStyle w:val="BodyText"/>
      </w:pPr>
      <w:r>
        <w:t xml:space="preserve">Umsatzseitig: Das Churn-Risiko ist durch konsequentes Loss-Frame-Reversal-Messaging auf +1–2pp steuerbar. Das Konversions-Potenzial aus dem bestehenden Awareness-Pool (50% → 13% → Ziel 23%) beträgt ca. 7.000 Zusatz-Abschlüsse p.a. allein aus der Conviction-Gap-Schliessung — ohne zusätzliche Awareness-Investition.</w:t>
      </w:r>
    </w:p>
    <w:p>
      <w:pPr>
        <w:pStyle w:val="BodyText"/>
      </w:pPr>
      <w:r>
        <w:t xml:space="preserve">Die Umbenennung ist kein Risiko, das es zu minimieren gilt. Sie ist der grösste einzelne Hebel zur Schliessung des Conviction Gaps und zur Aktivierung der ATTACK-Wachstumsstrategie.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MOD-TEL-001 v1.2.1 · EBF-S-2026-02-20-ORG-001 · FehrAdvice &amp; Partners AG · Vertraulich</w:t>
      </w:r>
      <w:r>
        <w:t xml:space="preserve"> </w:t>
      </w:r>
      <w:r>
        <w:rPr>
          <w:iCs/>
          <w:i/>
        </w:rPr>
        <w:t xml:space="preserve">Zugrundeliegende Files: F1–F5 · Branch: claude/check-a1-model-RVR1g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2026-02-20T12:44:24Z</dcterms:created>
  <dcterms:modified xsi:type="dcterms:W3CDTF">2026-02-20T12:44:24Z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