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12"/>
              <w:left w:val="single" w:color="1a365d" w:sz="12"/>
              <w:bottom w:val="single" w:color="1a365d" w:sz="12"/>
              <w:right w:val="single" w:color="1a365d" w:sz="12"/>
            </w:tcBorders>
            <w:shd w:fill="EDF2F7" w:val="clear"/>
          </w:tcPr>
          <w:p>
            <w:pPr>
              <w:spacing w:before="200" w:after="100"/>
              <w:jc w:val="center"/>
            </w:pPr>
            <w:r>
              <w:rPr>
                <w:b/>
                <w:bCs/>
                <w:color w:val="1a365d"/>
                <w:sz w:val="36"/>
                <w:szCs w:val="36"/>
              </w:rPr>
              <w:t xml:space="preserve">POLICY MEMORANDUM</w:t>
            </w:r>
          </w:p>
          <w:p>
            <w:pPr>
              <w:spacing w:after="200"/>
              <w:jc w:val="center"/>
            </w:pPr>
            <w:r>
              <w:rPr>
                <w:color w:val="2c5282"/>
                <w:sz w:val="28"/>
                <w:szCs w:val="28"/>
              </w:rPr>
              <w:t xml:space="preserve">Strategic Assessment: U.S. Military Intervention in Venezuela</w:t>
            </w:r>
          </w:p>
        </w:tc>
      </w:tr>
    </w:tbl>
    <w:p>
      <w:pPr>
        <w:spacing w:before="300"/>
      </w:pPr>
    </w:p>
    <w:p>
      <w:r>
        <w:rPr>
          <w:b/>
          <w:bCs/>
        </w:rPr>
        <w:t xml:space="preserve">TO: </w:t>
      </w:r>
      <w:r>
        <w:t xml:space="preserve">National Security Council, Strategic Planning Division</w:t>
      </w:r>
    </w:p>
    <w:p>
      <w:r>
        <w:rPr>
          <w:b/>
          <w:bCs/>
        </w:rPr>
        <w:t xml:space="preserve">FROM: </w:t>
      </w:r>
      <w:r>
        <w:t xml:space="preserve">FehrAdvice &amp; Partners AG, Behavioral Economics Analysis Unit</w:t>
      </w:r>
    </w:p>
    <w:p>
      <w:r>
        <w:rPr>
          <w:b/>
          <w:bCs/>
        </w:rPr>
        <w:t xml:space="preserve">DATE: </w:t>
      </w:r>
      <w:r>
        <w:t xml:space="preserve">4 January 2026</w:t>
      </w:r>
    </w:p>
    <w:p>
      <w:r>
        <w:rPr>
          <w:b/>
          <w:bCs/>
        </w:rPr>
        <w:t xml:space="preserve">RE: </w:t>
      </w:r>
      <w:r>
        <w:t xml:space="preserve">Multi-Dimensional Impact Assessment of Venezuela Intervention</w:t>
      </w:r>
    </w:p>
    <w:p>
      <w:r>
        <w:rPr>
          <w:b/>
          <w:bCs/>
        </w:rPr>
        <w:t xml:space="preserve">CLASSIFICATION: </w:t>
      </w:r>
      <w:r>
        <w:rPr>
          <w:color w:val="991b1b"/>
        </w:rPr>
        <w:t xml:space="preserve">CONFIDENTIAL – POLICY SENSITIVE</w:t>
      </w:r>
    </w:p>
    <w:p>
      <w:pPr>
        <w:pBdr>
          <w:bottom w:val="single" w:color="1a365d" w:sz="6"/>
        </w:pBdr>
        <w:spacing w:before="200" w:after="200"/>
      </w:pPr>
    </w:p>
    <w:p>
      <w:pPr>
        <w:pStyle w:val="Heading1"/>
      </w:pPr>
      <w:r>
        <w:t xml:space="preserve">EXECUTIVE SUMMARY</w:t>
      </w:r>
    </w:p>
    <w:p>
      <w:pPr>
        <w:spacing w:after="120"/>
      </w:pPr>
      <w:r>
        <w:t xml:space="preserve">This memorandum provides a comprehensive assessment of the strategic implications of U.S. military intervention in Venezuela, utilizing the Ψ-Framework (Psi-Framework) for multi-dimensional analysis. Our analysis integrates behavioral economics, institutional analysis, and systems dynamics to project outcomes across three temporal horizons and multiple stakeholder groups.</w:t>
      </w:r>
    </w:p>
    <w:p>
      <w:pPr>
        <w:spacing w:after="120"/>
      </w:pPr>
      <w:r>
        <w:rPr>
          <w:b/>
          <w:bCs/>
        </w:rPr>
        <w:t xml:space="preserve">Key Finding: </w:t>
      </w:r>
      <w:r>
        <w:t xml:space="preserve">The intervention represents a negative-sum outcome across all projected scenarios. No configuration exists in which aggregate welfare improves relative to the pre-intervention baseline. The expected Coherence Index (K) declines from 0.30 to 0.22, indicating systemic destabilization rather than stabilization.</w:t>
      </w:r>
    </w:p>
    <w:p>
      <w:pPr>
        <w:spacing w:after="120"/>
      </w:pPr>
      <w:r>
        <w:rPr>
          <w:b/>
          <w:bCs/>
        </w:rPr>
        <w:t xml:space="preserve">Critical Asymmetry: </w:t>
      </w:r>
      <w:r>
        <w:t xml:space="preserve">External actors possess the capacity to rapidly destroy systemic coherence but lack the capacity to construct it. Sustainable equilibria require endogenous legitimacy (Ψ_L) and social trust (Ψ_S)—neither of which can be imported or imposed through military means.</w:t>
      </w:r>
    </w:p>
    <w:p>
      <w:pPr>
        <w:pStyle w:val="Heading1"/>
      </w:pPr>
      <w:r>
        <w:t xml:space="preserve">ANALYTICAL FRAMEWORK</w:t>
      </w:r>
    </w:p>
    <w:p>
      <w:pPr>
        <w:spacing w:after="120"/>
      </w:pPr>
      <w:r>
        <w:t xml:space="preserve">This assessment employs the Eight Ψ-Dimensions Framework, developed within the broader theoretical architecture of 'Complementarity and Context: A Unified Framework for Economic Rationality.' The framework disaggregates complex systems into eight interdependent dimensions, enabling rigorous tracking of system states across time and scenarios.</w:t>
      </w:r>
    </w:p>
    <w:p>
      <w:pPr>
        <w:pStyle w:val="Heading2"/>
      </w:pPr>
      <w:r>
        <w:t xml:space="preserve">The Eight Ψ-Dimensions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Dimension</w:t>
            </w:r>
          </w:p>
        </w:tc>
        <w:tc>
          <w:tcPr>
            <w:tcW w:type="dxa" w:w="250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Symbol</w:t>
            </w:r>
          </w:p>
        </w:tc>
        <w:tc>
          <w:tcPr>
            <w:tcW w:type="dxa" w:w="486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Operational Definition</w:t>
            </w:r>
          </w:p>
        </w:tc>
      </w:tr>
      <w:tr>
        <w:tc>
          <w:tcPr>
            <w:tcW w:type="dxa" w:w="2000"/>
            <w:tcBorders>
              <w:top w:val="single" w:color="CCCCCC" w:sz="1"/>
              <w:left w:val="single" w:color="CCCCCC" w:sz="1"/>
              <w:bottom w:val="single" w:color="CCCCCC" w:sz="1"/>
              <w:right w:val="single" w:color="CCCCCC" w:sz="1"/>
            </w:tcBorders>
            <w:shd w:fill="F7FAFC" w:val="clear"/>
          </w:tcPr>
          <w:p>
            <w:r>
              <w:rPr>
                <w:sz w:val="20"/>
                <w:szCs w:val="20"/>
              </w:rPr>
              <w:t xml:space="preserve">Institutional</w:t>
            </w:r>
          </w:p>
        </w:tc>
        <w:tc>
          <w:tcPr>
            <w:tcW w:type="dxa" w:w="2500"/>
            <w:tcBorders>
              <w:top w:val="single" w:color="CCCCCC" w:sz="1"/>
              <w:left w:val="single" w:color="CCCCCC" w:sz="1"/>
              <w:bottom w:val="single" w:color="CCCCCC" w:sz="1"/>
              <w:right w:val="single" w:color="CCCCCC" w:sz="1"/>
            </w:tcBorders>
            <w:shd w:fill="F7FAFC" w:val="clear"/>
          </w:tcPr>
          <w:p>
            <w:r>
              <w:rPr>
                <w:sz w:val="20"/>
                <w:szCs w:val="20"/>
              </w:rPr>
              <w:t xml:space="preserve">Ψ_I</w:t>
            </w:r>
          </w:p>
        </w:tc>
        <w:tc>
          <w:tcPr>
            <w:tcW w:type="dxa" w:w="4860"/>
            <w:tcBorders>
              <w:top w:val="single" w:color="CCCCCC" w:sz="1"/>
              <w:left w:val="single" w:color="CCCCCC" w:sz="1"/>
              <w:bottom w:val="single" w:color="CCCCCC" w:sz="1"/>
              <w:right w:val="single" w:color="CCCCCC" w:sz="1"/>
            </w:tcBorders>
            <w:shd w:fill="F7FAFC" w:val="clear"/>
          </w:tcPr>
          <w:p>
            <w:r>
              <w:rPr>
                <w:sz w:val="20"/>
                <w:szCs w:val="20"/>
              </w:rPr>
              <w:t xml:space="preserve">Formal rules, governance structures, legal frameworks</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Social</w:t>
            </w:r>
          </w:p>
        </w:tc>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Ψ_S</w:t>
            </w:r>
          </w:p>
        </w:tc>
        <w:tc>
          <w:tcPr>
            <w:tcW w:type="dxa" w:w="4860"/>
            <w:tcBorders>
              <w:top w:val="single" w:color="CCCCCC" w:sz="1"/>
              <w:left w:val="single" w:color="CCCCCC" w:sz="1"/>
              <w:bottom w:val="single" w:color="CCCCCC" w:sz="1"/>
              <w:right w:val="single" w:color="CCCCCC" w:sz="1"/>
            </w:tcBorders>
            <w:shd w:fill="FFFFFF" w:val="clear"/>
          </w:tcPr>
          <w:p>
            <w:r>
              <w:rPr>
                <w:sz w:val="20"/>
                <w:szCs w:val="20"/>
              </w:rPr>
              <w:t xml:space="preserve">Trust networks, social cohesion, collective identity</w:t>
            </w:r>
          </w:p>
        </w:tc>
      </w:tr>
      <w:tr>
        <w:tc>
          <w:tcPr>
            <w:tcW w:type="dxa" w:w="2000"/>
            <w:tcBorders>
              <w:top w:val="single" w:color="CCCCCC" w:sz="1"/>
              <w:left w:val="single" w:color="CCCCCC" w:sz="1"/>
              <w:bottom w:val="single" w:color="CCCCCC" w:sz="1"/>
              <w:right w:val="single" w:color="CCCCCC" w:sz="1"/>
            </w:tcBorders>
            <w:shd w:fill="F7FAFC" w:val="clear"/>
          </w:tcPr>
          <w:p>
            <w:r>
              <w:rPr>
                <w:sz w:val="20"/>
                <w:szCs w:val="20"/>
              </w:rPr>
              <w:t xml:space="preserve">Informational</w:t>
            </w:r>
          </w:p>
        </w:tc>
        <w:tc>
          <w:tcPr>
            <w:tcW w:type="dxa" w:w="2500"/>
            <w:tcBorders>
              <w:top w:val="single" w:color="CCCCCC" w:sz="1"/>
              <w:left w:val="single" w:color="CCCCCC" w:sz="1"/>
              <w:bottom w:val="single" w:color="CCCCCC" w:sz="1"/>
              <w:right w:val="single" w:color="CCCCCC" w:sz="1"/>
            </w:tcBorders>
            <w:shd w:fill="F7FAFC" w:val="clear"/>
          </w:tcPr>
          <w:p>
            <w:r>
              <w:rPr>
                <w:sz w:val="20"/>
                <w:szCs w:val="20"/>
              </w:rPr>
              <w:t xml:space="preserve">Ψ_K</w:t>
            </w:r>
          </w:p>
        </w:tc>
        <w:tc>
          <w:tcPr>
            <w:tcW w:type="dxa" w:w="4860"/>
            <w:tcBorders>
              <w:top w:val="single" w:color="CCCCCC" w:sz="1"/>
              <w:left w:val="single" w:color="CCCCCC" w:sz="1"/>
              <w:bottom w:val="single" w:color="CCCCCC" w:sz="1"/>
              <w:right w:val="single" w:color="CCCCCC" w:sz="1"/>
            </w:tcBorders>
            <w:shd w:fill="F7FAFC" w:val="clear"/>
          </w:tcPr>
          <w:p>
            <w:r>
              <w:rPr>
                <w:sz w:val="20"/>
                <w:szCs w:val="20"/>
              </w:rPr>
              <w:t xml:space="preserve">Information quality, epistemic environment, media</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Economic</w:t>
            </w:r>
          </w:p>
        </w:tc>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Ψ_E</w:t>
            </w:r>
          </w:p>
        </w:tc>
        <w:tc>
          <w:tcPr>
            <w:tcW w:type="dxa" w:w="4860"/>
            <w:tcBorders>
              <w:top w:val="single" w:color="CCCCCC" w:sz="1"/>
              <w:left w:val="single" w:color="CCCCCC" w:sz="1"/>
              <w:bottom w:val="single" w:color="CCCCCC" w:sz="1"/>
              <w:right w:val="single" w:color="CCCCCC" w:sz="1"/>
            </w:tcBorders>
            <w:shd w:fill="FFFFFF" w:val="clear"/>
          </w:tcPr>
          <w:p>
            <w:r>
              <w:rPr>
                <w:sz w:val="20"/>
                <w:szCs w:val="20"/>
              </w:rPr>
              <w:t xml:space="preserve">Resource allocation, market functioning, production</w:t>
            </w:r>
          </w:p>
        </w:tc>
      </w:tr>
      <w:tr>
        <w:tc>
          <w:tcPr>
            <w:tcW w:type="dxa" w:w="2000"/>
            <w:tcBorders>
              <w:top w:val="single" w:color="CCCCCC" w:sz="1"/>
              <w:left w:val="single" w:color="CCCCCC" w:sz="1"/>
              <w:bottom w:val="single" w:color="CCCCCC" w:sz="1"/>
              <w:right w:val="single" w:color="CCCCCC" w:sz="1"/>
            </w:tcBorders>
            <w:shd w:fill="F7FAFC" w:val="clear"/>
          </w:tcPr>
          <w:p>
            <w:r>
              <w:rPr>
                <w:sz w:val="20"/>
                <w:szCs w:val="20"/>
              </w:rPr>
              <w:t xml:space="preserve">Physical</w:t>
            </w:r>
          </w:p>
        </w:tc>
        <w:tc>
          <w:tcPr>
            <w:tcW w:type="dxa" w:w="2500"/>
            <w:tcBorders>
              <w:top w:val="single" w:color="CCCCCC" w:sz="1"/>
              <w:left w:val="single" w:color="CCCCCC" w:sz="1"/>
              <w:bottom w:val="single" w:color="CCCCCC" w:sz="1"/>
              <w:right w:val="single" w:color="CCCCCC" w:sz="1"/>
            </w:tcBorders>
            <w:shd w:fill="F7FAFC" w:val="clear"/>
          </w:tcPr>
          <w:p>
            <w:r>
              <w:rPr>
                <w:sz w:val="20"/>
                <w:szCs w:val="20"/>
              </w:rPr>
              <w:t xml:space="preserve">Ψ_P</w:t>
            </w:r>
          </w:p>
        </w:tc>
        <w:tc>
          <w:tcPr>
            <w:tcW w:type="dxa" w:w="4860"/>
            <w:tcBorders>
              <w:top w:val="single" w:color="CCCCCC" w:sz="1"/>
              <w:left w:val="single" w:color="CCCCCC" w:sz="1"/>
              <w:bottom w:val="single" w:color="CCCCCC" w:sz="1"/>
              <w:right w:val="single" w:color="CCCCCC" w:sz="1"/>
            </w:tcBorders>
            <w:shd w:fill="F7FAFC" w:val="clear"/>
          </w:tcPr>
          <w:p>
            <w:r>
              <w:rPr>
                <w:sz w:val="20"/>
                <w:szCs w:val="20"/>
              </w:rPr>
              <w:t xml:space="preserve">Infrastructure, mobility, physical security</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Temporal</w:t>
            </w:r>
          </w:p>
        </w:tc>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Ψ_T</w:t>
            </w:r>
          </w:p>
        </w:tc>
        <w:tc>
          <w:tcPr>
            <w:tcW w:type="dxa" w:w="4860"/>
            <w:tcBorders>
              <w:top w:val="single" w:color="CCCCCC" w:sz="1"/>
              <w:left w:val="single" w:color="CCCCCC" w:sz="1"/>
              <w:bottom w:val="single" w:color="CCCCCC" w:sz="1"/>
              <w:right w:val="single" w:color="CCCCCC" w:sz="1"/>
            </w:tcBorders>
            <w:shd w:fill="FFFFFF" w:val="clear"/>
          </w:tcPr>
          <w:p>
            <w:r>
              <w:rPr>
                <w:sz w:val="20"/>
                <w:szCs w:val="20"/>
              </w:rPr>
              <w:t xml:space="preserve">Planning horizons, time preferences, expectations</w:t>
            </w:r>
          </w:p>
        </w:tc>
      </w:tr>
      <w:tr>
        <w:tc>
          <w:tcPr>
            <w:tcW w:type="dxa" w:w="2000"/>
            <w:tcBorders>
              <w:top w:val="single" w:color="CCCCCC" w:sz="1"/>
              <w:left w:val="single" w:color="CCCCCC" w:sz="1"/>
              <w:bottom w:val="single" w:color="CCCCCC" w:sz="1"/>
              <w:right w:val="single" w:color="CCCCCC" w:sz="1"/>
            </w:tcBorders>
            <w:shd w:fill="F7FAFC" w:val="clear"/>
          </w:tcPr>
          <w:p>
            <w:r>
              <w:rPr>
                <w:sz w:val="20"/>
                <w:szCs w:val="20"/>
              </w:rPr>
              <w:t xml:space="preserve">International</w:t>
            </w:r>
          </w:p>
        </w:tc>
        <w:tc>
          <w:tcPr>
            <w:tcW w:type="dxa" w:w="2500"/>
            <w:tcBorders>
              <w:top w:val="single" w:color="CCCCCC" w:sz="1"/>
              <w:left w:val="single" w:color="CCCCCC" w:sz="1"/>
              <w:bottom w:val="single" w:color="CCCCCC" w:sz="1"/>
              <w:right w:val="single" w:color="CCCCCC" w:sz="1"/>
            </w:tcBorders>
            <w:shd w:fill="F7FAFC" w:val="clear"/>
          </w:tcPr>
          <w:p>
            <w:r>
              <w:rPr>
                <w:sz w:val="20"/>
                <w:szCs w:val="20"/>
              </w:rPr>
              <w:t xml:space="preserve">Ψ_int</w:t>
            </w:r>
          </w:p>
        </w:tc>
        <w:tc>
          <w:tcPr>
            <w:tcW w:type="dxa" w:w="4860"/>
            <w:tcBorders>
              <w:top w:val="single" w:color="CCCCCC" w:sz="1"/>
              <w:left w:val="single" w:color="CCCCCC" w:sz="1"/>
              <w:bottom w:val="single" w:color="CCCCCC" w:sz="1"/>
              <w:right w:val="single" w:color="CCCCCC" w:sz="1"/>
            </w:tcBorders>
            <w:shd w:fill="F7FAFC" w:val="clear"/>
          </w:tcPr>
          <w:p>
            <w:r>
              <w:rPr>
                <w:sz w:val="20"/>
                <w:szCs w:val="20"/>
              </w:rPr>
              <w:t xml:space="preserve">External relations, sovereignty recognition</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Legitimacy</w:t>
            </w:r>
          </w:p>
        </w:tc>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Ψ_L</w:t>
            </w:r>
          </w:p>
        </w:tc>
        <w:tc>
          <w:tcPr>
            <w:tcW w:type="dxa" w:w="4860"/>
            <w:tcBorders>
              <w:top w:val="single" w:color="CCCCCC" w:sz="1"/>
              <w:left w:val="single" w:color="CCCCCC" w:sz="1"/>
              <w:bottom w:val="single" w:color="CCCCCC" w:sz="1"/>
              <w:right w:val="single" w:color="CCCCCC" w:sz="1"/>
            </w:tcBorders>
            <w:shd w:fill="FFFFFF" w:val="clear"/>
          </w:tcPr>
          <w:p>
            <w:r>
              <w:rPr>
                <w:sz w:val="20"/>
                <w:szCs w:val="20"/>
              </w:rPr>
              <w:t xml:space="preserve">Perceived rightfulness of authority structures</w:t>
            </w:r>
          </w:p>
        </w:tc>
      </w:tr>
    </w:tbl>
    <w:p>
      <w:pPr>
        <w:spacing w:before="200" w:after="120"/>
      </w:pPr>
      <w:r>
        <w:t xml:space="preserve">The Coherence Index (K) represents the aggregate stability of the system, computed as the weighted interaction of all Ψ-dimensions. Values range from 0 (complete system collapse) to 1 (optimal equilibrium). Critical thresholds exist at K &lt; 0.20 (state failure imminent) and K &gt; 0.50 (sustainable stability).</w:t>
      </w:r>
    </w:p>
    <w:p>
      <w:r>
        <w:br w:type="page"/>
      </w:r>
    </w:p>
    <w:p>
      <w:pPr>
        <w:pStyle w:val="Heading1"/>
      </w:pPr>
      <w:r>
        <w:t xml:space="preserve">BASELINE ASSESSMENT (T₀: PRE-INTERVENTION)</w:t>
      </w:r>
    </w:p>
    <w:p>
      <w:pPr>
        <w:spacing w:after="120"/>
      </w:pPr>
      <w:r>
        <w:t xml:space="preserve">Prior to intervention, Venezuela exhibited a fragile but stable authoritarian equilibrium. The Maduro regime had consolidated power following contested elections, opposition movements had fragmented, and the economy—while severely degraded—had achieved a precarious stabilization through dollarization and reduced hyperinflation.</w:t>
      </w:r>
    </w:p>
    <w:p>
      <w:pPr>
        <w:pStyle w:val="Heading2"/>
      </w:pPr>
      <w:r>
        <w:t xml:space="preserve">Pre-Intervention Ψ-Profile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Assessment</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K-Value</w:t>
            </w:r>
          </w:p>
        </w:tc>
      </w:tr>
      <w:tr>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Ψ_I (Institutional)</w:t>
            </w:r>
          </w:p>
        </w:tc>
        <w:tc>
          <w:tcPr>
            <w:tcW w:type="dxa" w:w="4680"/>
            <w:tcBorders>
              <w:top w:val="single" w:color="CCCCCC" w:sz="1"/>
              <w:left w:val="single" w:color="CCCCCC" w:sz="1"/>
              <w:bottom w:val="single" w:color="CCCCCC" w:sz="1"/>
              <w:right w:val="single" w:color="CCCCCC" w:sz="1"/>
            </w:tcBorders>
            <w:shd w:fill="F7FAFC" w:val="clear"/>
          </w:tcPr>
          <w:p>
            <w:r>
              <w:rPr>
                <w:sz w:val="20"/>
                <w:szCs w:val="20"/>
              </w:rPr>
              <w:t xml:space="preserve">Authoritarian consolidation, opposition fragmented</w:t>
            </w:r>
          </w:p>
        </w:tc>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0.40</w:t>
            </w:r>
          </w:p>
        </w:tc>
      </w:tr>
      <w:tr>
        <w:tc>
          <w:tcPr>
            <w:tcW w:type="dxa" w:w="2340"/>
            <w:tcBorders>
              <w:top w:val="single" w:color="CCCCCC" w:sz="1"/>
              <w:left w:val="single" w:color="CCCCCC" w:sz="1"/>
              <w:bottom w:val="single" w:color="CCCCCC" w:sz="1"/>
              <w:right w:val="single" w:color="CCCCCC" w:sz="1"/>
            </w:tcBorders>
            <w:shd w:fill="FFFFFF" w:val="clear"/>
          </w:tcPr>
          <w:p>
            <w:r>
              <w:rPr>
                <w:sz w:val="20"/>
                <w:szCs w:val="20"/>
              </w:rPr>
              <w:t xml:space="preserve">Ψ_S (Social)</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Deep polarization: 35% Chavista, 40% Opposition, 25% neutral</w:t>
            </w:r>
          </w:p>
        </w:tc>
        <w:tc>
          <w:tcPr>
            <w:tcW w:type="dxa" w:w="2340"/>
            <w:tcBorders>
              <w:top w:val="single" w:color="CCCCCC" w:sz="1"/>
              <w:left w:val="single" w:color="CCCCCC" w:sz="1"/>
              <w:bottom w:val="single" w:color="CCCCCC" w:sz="1"/>
              <w:right w:val="single" w:color="CCCCCC" w:sz="1"/>
            </w:tcBorders>
            <w:shd w:fill="FFFFFF" w:val="clear"/>
          </w:tcPr>
          <w:p>
            <w:r>
              <w:rPr>
                <w:sz w:val="20"/>
                <w:szCs w:val="20"/>
              </w:rPr>
              <w:t xml:space="preserve">0.30</w:t>
            </w:r>
          </w:p>
        </w:tc>
      </w:tr>
      <w:tr>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Ψ_K (Informational)</w:t>
            </w:r>
          </w:p>
        </w:tc>
        <w:tc>
          <w:tcPr>
            <w:tcW w:type="dxa" w:w="4680"/>
            <w:tcBorders>
              <w:top w:val="single" w:color="CCCCCC" w:sz="1"/>
              <w:left w:val="single" w:color="CCCCCC" w:sz="1"/>
              <w:bottom w:val="single" w:color="CCCCCC" w:sz="1"/>
              <w:right w:val="single" w:color="CCCCCC" w:sz="1"/>
            </w:tcBorders>
            <w:shd w:fill="F7FAFC" w:val="clear"/>
          </w:tcPr>
          <w:p>
            <w:r>
              <w:rPr>
                <w:sz w:val="20"/>
                <w:szCs w:val="20"/>
              </w:rPr>
              <w:t xml:space="preserve">State media dominance, restricted internet access</w:t>
            </w:r>
          </w:p>
        </w:tc>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0.30</w:t>
            </w:r>
          </w:p>
        </w:tc>
      </w:tr>
      <w:tr>
        <w:tc>
          <w:tcPr>
            <w:tcW w:type="dxa" w:w="2340"/>
            <w:tcBorders>
              <w:top w:val="single" w:color="CCCCCC" w:sz="1"/>
              <w:left w:val="single" w:color="CCCCCC" w:sz="1"/>
              <w:bottom w:val="single" w:color="CCCCCC" w:sz="1"/>
              <w:right w:val="single" w:color="CCCCCC" w:sz="1"/>
            </w:tcBorders>
            <w:shd w:fill="FFFFFF" w:val="clear"/>
          </w:tcPr>
          <w:p>
            <w:r>
              <w:rPr>
                <w:sz w:val="20"/>
                <w:szCs w:val="20"/>
              </w:rPr>
              <w:t xml:space="preserve">Ψ_E (Economic)</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Dollarized economy, oil production at 900k bbl/day</w:t>
            </w:r>
          </w:p>
        </w:tc>
        <w:tc>
          <w:tcPr>
            <w:tcW w:type="dxa" w:w="2340"/>
            <w:tcBorders>
              <w:top w:val="single" w:color="CCCCCC" w:sz="1"/>
              <w:left w:val="single" w:color="CCCCCC" w:sz="1"/>
              <w:bottom w:val="single" w:color="CCCCCC" w:sz="1"/>
              <w:right w:val="single" w:color="CCCCCC" w:sz="1"/>
            </w:tcBorders>
            <w:shd w:fill="FFFFFF" w:val="clear"/>
          </w:tcPr>
          <w:p>
            <w:r>
              <w:rPr>
                <w:sz w:val="20"/>
                <w:szCs w:val="20"/>
              </w:rPr>
              <w:t xml:space="preserve">0.20</w:t>
            </w:r>
          </w:p>
        </w:tc>
      </w:tr>
      <w:tr>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Ψ_P (Physical)</w:t>
            </w:r>
          </w:p>
        </w:tc>
        <w:tc>
          <w:tcPr>
            <w:tcW w:type="dxa" w:w="4680"/>
            <w:tcBorders>
              <w:top w:val="single" w:color="CCCCCC" w:sz="1"/>
              <w:left w:val="single" w:color="CCCCCC" w:sz="1"/>
              <w:bottom w:val="single" w:color="CCCCCC" w:sz="1"/>
              <w:right w:val="single" w:color="CCCCCC" w:sz="1"/>
            </w:tcBorders>
            <w:shd w:fill="F7FAFC" w:val="clear"/>
          </w:tcPr>
          <w:p>
            <w:r>
              <w:rPr>
                <w:sz w:val="20"/>
                <w:szCs w:val="20"/>
              </w:rPr>
              <w:t xml:space="preserve">Degraded infrastructure, elevated crime rates</w:t>
            </w:r>
          </w:p>
        </w:tc>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0.30</w:t>
            </w:r>
          </w:p>
        </w:tc>
      </w:tr>
      <w:tr>
        <w:tc>
          <w:tcPr>
            <w:tcW w:type="dxa" w:w="2340"/>
            <w:tcBorders>
              <w:top w:val="single" w:color="CCCCCC" w:sz="1"/>
              <w:left w:val="single" w:color="CCCCCC" w:sz="1"/>
              <w:bottom w:val="single" w:color="CCCCCC" w:sz="1"/>
              <w:right w:val="single" w:color="CCCCCC" w:sz="1"/>
            </w:tcBorders>
            <w:shd w:fill="FFFFFF" w:val="clear"/>
          </w:tcPr>
          <w:p>
            <w:r>
              <w:rPr>
                <w:sz w:val="20"/>
                <w:szCs w:val="20"/>
              </w:rPr>
              <w:t xml:space="preserve">Ψ_T (Temporal)</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Population in survival mode, short planning horizons</w:t>
            </w:r>
          </w:p>
        </w:tc>
        <w:tc>
          <w:tcPr>
            <w:tcW w:type="dxa" w:w="2340"/>
            <w:tcBorders>
              <w:top w:val="single" w:color="CCCCCC" w:sz="1"/>
              <w:left w:val="single" w:color="CCCCCC" w:sz="1"/>
              <w:bottom w:val="single" w:color="CCCCCC" w:sz="1"/>
              <w:right w:val="single" w:color="CCCCCC" w:sz="1"/>
            </w:tcBorders>
            <w:shd w:fill="FFFFFF" w:val="clear"/>
          </w:tcPr>
          <w:p>
            <w:r>
              <w:rPr>
                <w:sz w:val="20"/>
                <w:szCs w:val="20"/>
              </w:rPr>
              <w:t xml:space="preserve">0.20</w:t>
            </w:r>
          </w:p>
        </w:tc>
      </w:tr>
      <w:tr>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Ψ_int (International)</w:t>
            </w:r>
          </w:p>
        </w:tc>
        <w:tc>
          <w:tcPr>
            <w:tcW w:type="dxa" w:w="4680"/>
            <w:tcBorders>
              <w:top w:val="single" w:color="CCCCCC" w:sz="1"/>
              <w:left w:val="single" w:color="CCCCCC" w:sz="1"/>
              <w:bottom w:val="single" w:color="CCCCCC" w:sz="1"/>
              <w:right w:val="single" w:color="CCCCCC" w:sz="1"/>
            </w:tcBorders>
            <w:shd w:fill="F7FAFC" w:val="clear"/>
          </w:tcPr>
          <w:p>
            <w:r>
              <w:rPr>
                <w:sz w:val="20"/>
                <w:szCs w:val="20"/>
              </w:rPr>
              <w:t xml:space="preserve">Contested recognition (~50% of states)</w:t>
            </w:r>
          </w:p>
        </w:tc>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0.40</w:t>
            </w:r>
          </w:p>
        </w:tc>
      </w:tr>
      <w:tr>
        <w:tc>
          <w:tcPr>
            <w:tcW w:type="dxa" w:w="2340"/>
            <w:tcBorders>
              <w:top w:val="single" w:color="CCCCCC" w:sz="1"/>
              <w:left w:val="single" w:color="CCCCCC" w:sz="1"/>
              <w:bottom w:val="single" w:color="CCCCCC" w:sz="1"/>
              <w:right w:val="single" w:color="CCCCCC" w:sz="1"/>
            </w:tcBorders>
            <w:shd w:fill="FFFFFF" w:val="clear"/>
          </w:tcPr>
          <w:p>
            <w:r>
              <w:rPr>
                <w:sz w:val="20"/>
                <w:szCs w:val="20"/>
              </w:rPr>
              <w:t xml:space="preserve">Ψ_L (Legitimacy)</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Domestically and internationally disputed</w:t>
            </w:r>
          </w:p>
        </w:tc>
        <w:tc>
          <w:tcPr>
            <w:tcW w:type="dxa" w:w="2340"/>
            <w:tcBorders>
              <w:top w:val="single" w:color="CCCCCC" w:sz="1"/>
              <w:left w:val="single" w:color="CCCCCC" w:sz="1"/>
              <w:bottom w:val="single" w:color="CCCCCC" w:sz="1"/>
              <w:right w:val="single" w:color="CCCCCC" w:sz="1"/>
            </w:tcBorders>
            <w:shd w:fill="FFFFFF" w:val="clear"/>
          </w:tcPr>
          <w:p>
            <w:r>
              <w:rPr>
                <w:sz w:val="20"/>
                <w:szCs w:val="20"/>
              </w:rPr>
              <w:t xml:space="preserve">0.30</w:t>
            </w:r>
          </w:p>
        </w:tc>
      </w:tr>
    </w:tbl>
    <w:p>
      <w:pPr>
        <w:spacing w:before="200" w:after="120"/>
      </w:pPr>
      <w:r>
        <w:rPr>
          <w:b/>
          <w:bCs/>
        </w:rPr>
        <w:t xml:space="preserve">Aggregate Baseline K = 0.30 </w:t>
      </w:r>
      <w:r>
        <w:t xml:space="preserve">(Low coherence, fragile equilibrium). This represents a system capable of persistence but vulnerable to external shocks. Absent intervention, gradual improvement toward K ≈ 0.35 was projected over 12-18 months.</w:t>
      </w:r>
    </w:p>
    <w:p>
      <w:pPr>
        <w:pStyle w:val="Heading1"/>
      </w:pPr>
      <w:r>
        <w:t xml:space="preserve">IMMEDIATE IMPACT ASSESSMENT (T₁: DAY 2)</w:t>
      </w:r>
    </w:p>
    <w:p>
      <w:pPr>
        <w:spacing w:after="120"/>
      </w:pPr>
      <w:r>
        <w:t xml:space="preserve">The intervention triggered immediate system shock across all dimensions. Military operations achieved tactical objectives—Caracas secured, Maduro captured, oil facilities nominally controlled—but generated cascading destabilization effects that significantly degraded systemic coherence.</w:t>
      </w:r>
    </w:p>
    <w:p>
      <w:pPr>
        <w:pStyle w:val="Heading2"/>
      </w:pPr>
      <w:r>
        <w:t xml:space="preserve">Shock Effects by Dimension</w:t>
      </w:r>
    </w:p>
    <w:p>
      <w:pPr>
        <w:pStyle w:val="ListParagraph"/>
        <w:numPr>
          <w:ilvl w:val="0"/>
          <w:numId w:val="2"/>
        </w:numPr>
      </w:pPr>
      <w:r>
        <w:rPr>
          <w:b/>
          <w:bCs/>
        </w:rPr>
        <w:t xml:space="preserve">Institutional Collapse (Ψ_I: 0.40 → 0.15): </w:t>
      </w:r>
      <w:r>
        <w:t xml:space="preserve">Complete authority vacuum. Delcy Rodríguez claims nominal presidency but exercises no effective control. Dual legitimacy claims prevent institutional reconstitution.</w:t>
      </w:r>
    </w:p>
    <w:p>
      <w:pPr>
        <w:pStyle w:val="ListParagraph"/>
        <w:numPr>
          <w:ilvl w:val="0"/>
          <w:numId w:val="2"/>
        </w:numPr>
      </w:pPr>
      <w:r>
        <w:rPr>
          <w:b/>
          <w:bCs/>
        </w:rPr>
        <w:t xml:space="preserve">Social Fragmentation (Ψ_S: 0.30 → 0.15): </w:t>
      </w:r>
      <w:r>
        <w:t xml:space="preserve">Population in shock state. Latent polarization activated. Street-level responses range from celebration to protest to hiding. No coordinated collective action possible.</w:t>
      </w:r>
    </w:p>
    <w:p>
      <w:pPr>
        <w:pStyle w:val="ListParagraph"/>
        <w:numPr>
          <w:ilvl w:val="0"/>
          <w:numId w:val="2"/>
        </w:numPr>
      </w:pPr>
      <w:r>
        <w:rPr>
          <w:b/>
          <w:bCs/>
        </w:rPr>
        <w:t xml:space="preserve">Information Chaos (Ψ_K: 0.30 → 0.10): </w:t>
      </w:r>
      <w:r>
        <w:t xml:space="preserve">Competing narratives dominate. U.S. frames 'liberation,' Russia/China frame 'illegal invasion,' domestic actors fragment across identity lines. No shared factual basis for discourse.</w:t>
      </w:r>
    </w:p>
    <w:p>
      <w:pPr>
        <w:pStyle w:val="ListParagraph"/>
        <w:numPr>
          <w:ilvl w:val="0"/>
          <w:numId w:val="2"/>
        </w:numPr>
      </w:pPr>
      <w:r>
        <w:rPr>
          <w:b/>
          <w:bCs/>
        </w:rPr>
        <w:t xml:space="preserve">Economic Halt (Ψ_E: 0.20 → 0.10): </w:t>
      </w:r>
      <w:r>
        <w:t xml:space="preserve">Banking system frozen, commerce suspended, oil production at zero. Dollarization accelerates as last remaining store of value. Supply chains disrupted.</w:t>
      </w:r>
    </w:p>
    <w:p>
      <w:pPr>
        <w:pStyle w:val="ListParagraph"/>
        <w:numPr>
          <w:ilvl w:val="0"/>
          <w:numId w:val="2"/>
        </w:numPr>
      </w:pPr>
      <w:r>
        <w:rPr>
          <w:b/>
          <w:bCs/>
        </w:rPr>
        <w:t xml:space="preserve">Physical Restriction (Ψ_P: 0.30 → 0.20): </w:t>
      </w:r>
      <w:r>
        <w:t xml:space="preserve">Curfews imposed, movement restricted, infrastructure under stress. Military checkpoints create friction. Essential services intermittent.</w:t>
      </w:r>
    </w:p>
    <w:p>
      <w:pPr>
        <w:pStyle w:val="ListParagraph"/>
        <w:numPr>
          <w:ilvl w:val="0"/>
          <w:numId w:val="2"/>
        </w:numPr>
      </w:pPr>
      <w:r>
        <w:rPr>
          <w:b/>
          <w:bCs/>
        </w:rPr>
        <w:t xml:space="preserve">Temporal Compression (Ψ_T: 0.20 → 0.05): </w:t>
      </w:r>
      <w:r>
        <w:t xml:space="preserve">Extreme uncertainty eliminates planning capacity. All actors operate in immediate survival mode. Investment and forward commitment impossible.</w:t>
      </w:r>
    </w:p>
    <w:p>
      <w:pPr>
        <w:spacing w:before="200" w:after="120"/>
      </w:pPr>
      <w:r>
        <w:rPr>
          <w:b/>
          <w:bCs/>
        </w:rPr>
        <w:t xml:space="preserve">Post-Shock K = 0.13 </w:t>
      </w:r>
      <w:r>
        <w:t xml:space="preserve">(Near-collapse coherence). This represents the lowest point in the projected trajectory—a system in crisis requiring external stabilization inputs merely to prevent complete collapse.</w:t>
      </w:r>
    </w:p>
    <w:p>
      <w:r>
        <w:br w:type="page"/>
      </w:r>
    </w:p>
    <w:p>
      <w:pPr>
        <w:pStyle w:val="Heading1"/>
      </w:pPr>
      <w:r>
        <w:t xml:space="preserve">SCENARIO PROJECTIONS (T₂: +3 MONTHS)</w:t>
      </w:r>
    </w:p>
    <w:p>
      <w:pPr>
        <w:spacing w:after="120"/>
      </w:pPr>
      <w:r>
        <w:t xml:space="preserve">Three primary scenarios emerge from the T₁ shock state, differentiated by the response of key actors—particularly the Venezuelan military, the Chavista base, and external powers. Probability weights are assigned based on historical analogies and structural analysis.</w:t>
      </w:r>
    </w:p>
    <w:p>
      <w:pPr>
        <w:pStyle w:val="Heading2"/>
      </w:pPr>
      <w:r>
        <w:t xml:space="preserve">Scenario A: Fragile Stabilization (P = 30%)</w:t>
      </w:r>
    </w:p>
    <w:p>
      <w:pPr>
        <w:spacing w:after="120"/>
      </w:pPr>
      <w:r>
        <w:rPr>
          <w:b/>
          <w:bCs/>
        </w:rPr>
        <w:t xml:space="preserve">Assumptions: </w:t>
      </w:r>
      <w:r>
        <w:t xml:space="preserve">Venezuelan military largely cooperates with transition. Chavista base remains passive. International community acquiesces to fait accompli. Opposition figure (Machado or technocrat) assumes transitional authority.</w:t>
      </w:r>
    </w:p>
    <w:p>
      <w:pPr>
        <w:spacing w:after="120"/>
      </w:pPr>
      <w:r>
        <w:rPr>
          <w:b/>
          <w:bCs/>
        </w:rPr>
        <w:t xml:space="preserve">Projected K at T₂: 0.38 </w:t>
      </w:r>
      <w:r>
        <w:t xml:space="preserve">(Recovering but fragile). Oil production restarts at 600k bbl/day. Security situation stabilizes in urban centers. Elections announced for T₂+12 months.</w:t>
      </w:r>
    </w:p>
    <w:p>
      <w:pPr>
        <w:spacing w:after="120"/>
      </w:pPr>
      <w:r>
        <w:rPr>
          <w:b/>
          <w:bCs/>
        </w:rPr>
        <w:t xml:space="preserve">Long-term trajectory: </w:t>
      </w:r>
      <w:r>
        <w:t xml:space="preserve">Possible democratic consolidation over 3-5 years. Analogous to Panama 1989. Requires sustained international support and successful economic recovery.</w:t>
      </w:r>
    </w:p>
    <w:p>
      <w:pPr>
        <w:pStyle w:val="Heading2"/>
      </w:pPr>
      <w:r>
        <w:t xml:space="preserve">Scenario B: Protracted Occupation (P = 50%)</w:t>
      </w:r>
    </w:p>
    <w:p>
      <w:pPr>
        <w:spacing w:after="120"/>
      </w:pPr>
      <w:r>
        <w:rPr>
          <w:b/>
          <w:bCs/>
        </w:rPr>
        <w:t xml:space="preserve">Assumptions: </w:t>
      </w:r>
      <w:r>
        <w:t xml:space="preserve">Mixed military response—some units cooperate, others resist or dissolve. Chavista base engages in passive resistance. International community remains divided. Authority contested outside major urban centers.</w:t>
      </w:r>
    </w:p>
    <w:p>
      <w:pPr>
        <w:spacing w:after="120"/>
      </w:pPr>
      <w:r>
        <w:rPr>
          <w:b/>
          <w:bCs/>
        </w:rPr>
        <w:t xml:space="preserve">Projected K at T₂: 0.24 </w:t>
      </w:r>
      <w:r>
        <w:t xml:space="preserve">(Chronic instability). Oil production at 400k bbl/day with sabotage incidents. 'Green zones' versus contested areas. Occupation dynamics emerge.</w:t>
      </w:r>
    </w:p>
    <w:p>
      <w:pPr>
        <w:spacing w:after="120"/>
      </w:pPr>
      <w:r>
        <w:rPr>
          <w:b/>
          <w:bCs/>
        </w:rPr>
        <w:t xml:space="preserve">Long-term trajectory: </w:t>
      </w:r>
      <w:r>
        <w:t xml:space="preserve">Prolonged instability over 8-15 years. Analogous to Iraq 2003-2011. Outcome dependent on U.S. domestic political will and resource commitment.</w:t>
      </w:r>
    </w:p>
    <w:p>
      <w:pPr>
        <w:pStyle w:val="Heading2"/>
      </w:pPr>
      <w:r>
        <w:t xml:space="preserve">Scenario C: Escalation and Collapse (P = 20%)</w:t>
      </w:r>
    </w:p>
    <w:p>
      <w:pPr>
        <w:spacing w:after="120"/>
      </w:pPr>
      <w:r>
        <w:rPr>
          <w:b/>
          <w:bCs/>
        </w:rPr>
        <w:t xml:space="preserve">Assumptions: </w:t>
      </w:r>
      <w:r>
        <w:t xml:space="preserve">Significant armed resistance emerges. External powers (Russia, China) provide material support to insurgency. Regional spillover into Colombia and Brazil. State fragmentation begins.</w:t>
      </w:r>
    </w:p>
    <w:p>
      <w:pPr>
        <w:spacing w:after="120"/>
      </w:pPr>
      <w:r>
        <w:rPr>
          <w:b/>
          <w:bCs/>
        </w:rPr>
        <w:t xml:space="preserve">Projected K at T₂: 0.09 </w:t>
      </w:r>
      <w:r>
        <w:t xml:space="preserve">(System collapse). Multiple competing authorities, warlordism in rural areas. Humanitarian crisis triggers mass displacement. Oil infrastructure severely damaged.</w:t>
      </w:r>
    </w:p>
    <w:p>
      <w:pPr>
        <w:spacing w:after="120"/>
      </w:pPr>
      <w:r>
        <w:rPr>
          <w:b/>
          <w:bCs/>
        </w:rPr>
        <w:t xml:space="preserve">Long-term trajectory: </w:t>
      </w:r>
      <w:r>
        <w:t xml:space="preserve">Failed state or partition. Analogous to Libya 2011-present. No clear path to stabilization without fundamental reconfiguration.</w:t>
      </w:r>
    </w:p>
    <w:p>
      <w:pPr>
        <w:pStyle w:val="Heading2"/>
      </w:pPr>
      <w:r>
        <w:t xml:space="preserve">Probability-Weighted Expected Outcome</w:t>
      </w:r>
    </w:p>
    <w:p>
      <w:pPr>
        <w:spacing w:after="120"/>
      </w:pPr>
      <w:r>
        <w:t xml:space="preserve">E[K] = (0.30 × 0.38) + (0.50 × 0.24) + (0.20 × 0.09) = </w:t>
      </w:r>
      <w:r>
        <w:rPr>
          <w:b/>
          <w:bCs/>
        </w:rPr>
        <w:t xml:space="preserve">0.25</w:t>
      </w:r>
    </w:p>
    <w:p>
      <w:pPr>
        <w:spacing w:after="120"/>
      </w:pPr>
      <w:r>
        <w:t xml:space="preserve">The expected Coherence Index at T₂ (0.25) is lower than the pre-intervention baseline (0.30). This represents net systemic degradation—the intervention, in expectation, makes the situation worse rather than better.</w:t>
      </w:r>
    </w:p>
    <w:p>
      <w:r>
        <w:br w:type="page"/>
      </w:r>
    </w:p>
    <w:p>
      <w:pPr>
        <w:pStyle w:val="Heading1"/>
      </w:pPr>
      <w:r>
        <w:t xml:space="preserve">STAKEHOLDER IMPACT ANALYSIS</w:t>
      </w:r>
    </w:p>
    <w:p>
      <w:pPr>
        <w:pStyle w:val="Heading2"/>
      </w:pPr>
      <w:r>
        <w:t xml:space="preserve">United States</w:t>
      </w:r>
    </w:p>
    <w:p>
      <w:pPr>
        <w:spacing w:after="120"/>
      </w:pPr>
      <w:r>
        <w:t xml:space="preserve">The U.S. faces asymmetric cost-benefit distribution across scenarios. Even in the optimistic case (Scenario A), net strategic position deteriorates due to soft power losses in Latin America. In base and pessimistic cases, financial costs ($300-800B over 5 years), military casualties (500-2000+), and regional relationship damage significantly exceed any oil access benefits.</w:t>
      </w:r>
    </w:p>
    <w:p>
      <w:pPr>
        <w:pStyle w:val="ListParagraph"/>
        <w:numPr>
          <w:ilvl w:val="0"/>
          <w:numId w:val="3"/>
        </w:numPr>
      </w:pPr>
      <w:r>
        <w:rPr>
          <w:b/>
          <w:bCs/>
        </w:rPr>
        <w:t xml:space="preserve">Financial exposure: </w:t>
      </w:r>
      <w:r>
        <w:t xml:space="preserve">$100-800B depending on scenario duration and intensity</w:t>
      </w:r>
    </w:p>
    <w:p>
      <w:pPr>
        <w:pStyle w:val="ListParagraph"/>
        <w:numPr>
          <w:ilvl w:val="0"/>
          <w:numId w:val="3"/>
        </w:numPr>
      </w:pPr>
      <w:r>
        <w:rPr>
          <w:b/>
          <w:bCs/>
        </w:rPr>
        <w:t xml:space="preserve">Military commitment: </w:t>
      </w:r>
      <w:r>
        <w:t xml:space="preserve">10,000-50,000 troops required for 3-10 years</w:t>
      </w:r>
    </w:p>
    <w:p>
      <w:pPr>
        <w:pStyle w:val="ListParagraph"/>
        <w:numPr>
          <w:ilvl w:val="0"/>
          <w:numId w:val="3"/>
        </w:numPr>
      </w:pPr>
      <w:r>
        <w:rPr>
          <w:b/>
          <w:bCs/>
        </w:rPr>
        <w:t xml:space="preserve">Domestic political risk: </w:t>
      </w:r>
      <w:r>
        <w:t xml:space="preserve">High exposure to 'quagmire' narrative by 2028 election</w:t>
      </w:r>
    </w:p>
    <w:p>
      <w:pPr>
        <w:pStyle w:val="Heading2"/>
      </w:pPr>
      <w:r>
        <w:t xml:space="preserve">Venezuelan Population</w:t>
      </w:r>
    </w:p>
    <w:p>
      <w:pPr>
        <w:spacing w:after="120"/>
      </w:pPr>
      <w:r>
        <w:t xml:space="preserve">Outcomes diverge sharply across population segments. Opposition supporters (30%) experience initial optimism followed by disappointment as reconstruction lags. Chavista base (35%) experiences trauma, marginalization, and—in pessimistic scenarios—radicalization toward insurgency. Neutral population (35%) prioritizes survival, with emigration increasing in all scenarios.</w:t>
      </w:r>
    </w:p>
    <w:p>
      <w:pPr>
        <w:pStyle w:val="ListParagraph"/>
        <w:numPr>
          <w:ilvl w:val="0"/>
          <w:numId w:val="3"/>
        </w:numPr>
      </w:pPr>
      <w:r>
        <w:rPr>
          <w:b/>
          <w:bCs/>
        </w:rPr>
        <w:t xml:space="preserve">Expected additional refugees: </w:t>
      </w:r>
      <w:r>
        <w:t xml:space="preserve">2.1 million (probability-weighted)</w:t>
      </w:r>
    </w:p>
    <w:p>
      <w:pPr>
        <w:pStyle w:val="ListParagraph"/>
        <w:numPr>
          <w:ilvl w:val="0"/>
          <w:numId w:val="3"/>
        </w:numPr>
      </w:pPr>
      <w:r>
        <w:rPr>
          <w:b/>
          <w:bCs/>
        </w:rPr>
        <w:t xml:space="preserve">Expected casualties: </w:t>
      </w:r>
      <w:r>
        <w:t xml:space="preserve">66,000 deaths (probability-weighted)</w:t>
      </w:r>
    </w:p>
    <w:p>
      <w:pPr>
        <w:pStyle w:val="ListParagraph"/>
        <w:numPr>
          <w:ilvl w:val="0"/>
          <w:numId w:val="3"/>
        </w:numPr>
      </w:pPr>
      <w:r>
        <w:rPr>
          <w:b/>
          <w:bCs/>
        </w:rPr>
        <w:t xml:space="preserve">Economic recovery timeline: </w:t>
      </w:r>
      <w:r>
        <w:t xml:space="preserve">3-15 years depending on scenario</w:t>
      </w:r>
    </w:p>
    <w:p>
      <w:pPr>
        <w:pStyle w:val="Heading2"/>
      </w:pPr>
      <w:r>
        <w:t xml:space="preserve">Russia and China</w:t>
      </w:r>
    </w:p>
    <w:p>
      <w:pPr>
        <w:spacing w:after="120"/>
      </w:pPr>
      <w:r>
        <w:t xml:space="preserve">Both powers experience short-term material losses (investments, oil contracts) but long-term strategic gains. The intervention provides rhetorical ammunition for both powers' narratives of U.S. hypocrisy and validates their critiques of the 'rules-based international order.' China particularly benefits from the precedent implications for Taiwan policy.</w:t>
      </w:r>
    </w:p>
    <w:p>
      <w:pPr>
        <w:pStyle w:val="ListParagraph"/>
        <w:numPr>
          <w:ilvl w:val="0"/>
          <w:numId w:val="3"/>
        </w:numPr>
      </w:pPr>
      <w:r>
        <w:rPr>
          <w:b/>
          <w:bCs/>
        </w:rPr>
        <w:t xml:space="preserve">Russia: </w:t>
      </w:r>
      <w:r>
        <w:t xml:space="preserve">Ukraine invasion justification strengthened; ~$20B investment loss acceptable</w:t>
      </w:r>
    </w:p>
    <w:p>
      <w:pPr>
        <w:pStyle w:val="ListParagraph"/>
        <w:numPr>
          <w:ilvl w:val="0"/>
          <w:numId w:val="3"/>
        </w:numPr>
      </w:pPr>
      <w:r>
        <w:rPr>
          <w:b/>
          <w:bCs/>
        </w:rPr>
        <w:t xml:space="preserve">China: </w:t>
      </w:r>
      <w:r>
        <w:t xml:space="preserve">Taiwan calculus shifted; ~$60B loss offset by precedent value</w:t>
      </w:r>
    </w:p>
    <w:p>
      <w:pPr>
        <w:pStyle w:val="Heading2"/>
      </w:pPr>
      <w:r>
        <w:t xml:space="preserve">Latin America</w:t>
      </w:r>
    </w:p>
    <w:p>
      <w:pPr>
        <w:spacing w:after="120"/>
      </w:pPr>
      <w:r>
        <w:t xml:space="preserve">Regional response is uniformly negative across the political spectrum. Even right-leaning governments (Argentina) face domestic pressure to condemn. Left-leaning governments (Mexico, Brazil, Colombia) lead diplomatic opposition. The intervention accelerates regional realignment toward BRICS and away from U.S. institutional frameworks.</w:t>
      </w:r>
    </w:p>
    <w:p>
      <w:pPr>
        <w:pStyle w:val="ListParagraph"/>
        <w:numPr>
          <w:ilvl w:val="0"/>
          <w:numId w:val="3"/>
        </w:numPr>
      </w:pPr>
      <w:r>
        <w:rPr>
          <w:b/>
          <w:bCs/>
        </w:rPr>
        <w:t xml:space="preserve">OAS: </w:t>
      </w:r>
      <w:r>
        <w:t xml:space="preserve">Paralyzed, institutional credibility destroyed</w:t>
      </w:r>
    </w:p>
    <w:p>
      <w:pPr>
        <w:pStyle w:val="ListParagraph"/>
        <w:numPr>
          <w:ilvl w:val="0"/>
          <w:numId w:val="3"/>
        </w:numPr>
      </w:pPr>
      <w:r>
        <w:rPr>
          <w:b/>
          <w:bCs/>
        </w:rPr>
        <w:t xml:space="preserve">CELAC: </w:t>
      </w:r>
      <w:r>
        <w:t xml:space="preserve">Unified condemnation, alternative regional framework strengthened</w:t>
      </w:r>
    </w:p>
    <w:p>
      <w:pPr>
        <w:pStyle w:val="ListParagraph"/>
        <w:numPr>
          <w:ilvl w:val="0"/>
          <w:numId w:val="3"/>
        </w:numPr>
      </w:pPr>
      <w:r>
        <w:rPr>
          <w:b/>
          <w:bCs/>
        </w:rPr>
        <w:t xml:space="preserve">U.S.-LatAm complementarity: </w:t>
      </w:r>
      <w:r>
        <w:t xml:space="preserve">Structural decline from C = 0.4 to C = 0.1</w:t>
      </w:r>
    </w:p>
    <w:p>
      <w:r>
        <w:br w:type="page"/>
      </w:r>
    </w:p>
    <w:p>
      <w:pPr>
        <w:pStyle w:val="Heading1"/>
      </w:pPr>
      <w:r>
        <w:t xml:space="preserve">SYSTEMIC FEEDBACK LOOPS</w:t>
      </w:r>
    </w:p>
    <w:p>
      <w:pPr>
        <w:spacing w:after="120"/>
      </w:pPr>
      <w:r>
        <w:t xml:space="preserve">Five self-reinforcing feedback loops have been identified that constrain stabilization prospects and create path dependencies toward negative outcomes.</w:t>
      </w:r>
    </w:p>
    <w:p>
      <w:pPr>
        <w:pStyle w:val="Heading3"/>
      </w:pPr>
      <w:r>
        <w:t xml:space="preserve">1. Legitimacy-Resistance Spiral</w:t>
      </w:r>
    </w:p>
    <w:p>
      <w:pPr>
        <w:spacing w:after="120"/>
      </w:pPr>
      <w:r>
        <w:t xml:space="preserve">Low legitimacy (Ψ_L) → Increased resistance (Ψ_S↓) → Repression required (Ψ_P↓) → Further legitimacy erosion (Ψ_L↓↓). Breaking this loop requires elections, but elections require security, and security requires legitimacy—a structural dilemma.</w:t>
      </w:r>
    </w:p>
    <w:p>
      <w:pPr>
        <w:pStyle w:val="Heading3"/>
      </w:pPr>
      <w:r>
        <w:t xml:space="preserve">2. Economic-Security Trap</w:t>
      </w:r>
    </w:p>
    <w:p>
      <w:pPr>
        <w:spacing w:after="120"/>
      </w:pPr>
      <w:r>
        <w:t xml:space="preserve">Insecurity (K↓) → No investment (Ψ_E↓) → Unemployment → Recruitment pool for resistance (Ψ_S↓) → More insecurity (K↓↓). Breaking this loop requires massive external economic support ($50B+), which is politically difficult to sustain.</w:t>
      </w:r>
    </w:p>
    <w:p>
      <w:pPr>
        <w:pStyle w:val="Heading3"/>
      </w:pPr>
      <w:r>
        <w:t xml:space="preserve">3. Information-Polarization Cascade</w:t>
      </w:r>
    </w:p>
    <w:p>
      <w:pPr>
        <w:spacing w:after="120"/>
      </w:pPr>
      <w:r>
        <w:t xml:space="preserve">Propaganda from all sides (Ψ_K↓) → Identity-based narrative selection → Confirmation bias strengthens divisions (Ψ_S↓) → No shared factual basis → Compromise impossible. No institutional mechanism exists to break this loop.</w:t>
      </w:r>
    </w:p>
    <w:p>
      <w:pPr>
        <w:pStyle w:val="Heading3"/>
      </w:pPr>
      <w:r>
        <w:t xml:space="preserve">4. Regional Contagion</w:t>
      </w:r>
    </w:p>
    <w:p>
      <w:pPr>
        <w:spacing w:after="120"/>
      </w:pPr>
      <w:r>
        <w:t xml:space="preserve">Venezuelan destabilization → Refugee flows to Colombia/Brazil → Border region instability → Criminal network expansion → Regional insecurity → Anti-U.S. sentiment → U.S. regional position weakens. This loop operates beyond U.S. control.</w:t>
      </w:r>
    </w:p>
    <w:p>
      <w:pPr>
        <w:pStyle w:val="Heading3"/>
      </w:pPr>
      <w:r>
        <w:t xml:space="preserve">5. Global Order Erosion</w:t>
      </w:r>
    </w:p>
    <w:p>
      <w:pPr>
        <w:spacing w:after="120"/>
      </w:pPr>
      <w:r>
        <w:t xml:space="preserve">U.S. violates sovereignty norms → Russia/China gain precedent → Threshold for future interventions lowers → More interventions globally → UN system delegitimized → Rules-based order collapses → Power-based spheres emerge. This represents a fundamental regime shift in international relations.</w:t>
      </w:r>
    </w:p>
    <w:p>
      <w:pPr>
        <w:pStyle w:val="Heading1"/>
      </w:pPr>
      <w:r>
        <w:t xml:space="preserve">CORE ANALYTICAL INSIGHT</w:t>
      </w:r>
    </w:p>
    <w:p>
      <w:pPr>
        <w:spacing w:after="120"/>
      </w:pPr>
      <w:r>
        <w:t xml:space="preserve">The fundamental asymmetry of coherence production constitutes the central finding of this analysis:</w:t>
      </w:r>
    </w:p>
    <w:p>
      <w:pPr>
        <w:shd w:fill="EDF2F7" w:val="clear"/>
        <w:spacing w:before="100" w:after="100"/>
        <w:ind w:left="720" w:right="720"/>
      </w:pPr>
      <w:r>
        <w:rPr>
          <w:i/>
          <w:iCs/>
        </w:rPr>
        <w:t xml:space="preserve">External actors can rapidly destroy systemic coherence (K) but cannot construct it. Sustainable coherence requires endogenous legitimacy (Ψ_L) and social trust (Ψ_S)—variables that must emerge from within the system and cannot be imported or imposed through external force.</w:t>
      </w:r>
    </w:p>
    <w:p>
      <w:pPr>
        <w:spacing w:before="200" w:after="120"/>
      </w:pPr>
      <w:r>
        <w:t xml:space="preserve">This finding is validated by historical cases: Iraq (2003-2011), Afghanistan (2001-2021), and Libya (2011-present) all demonstrate the same pattern. Initial military success is followed by prolonged instability as externally-imposed institutional structures (Ψ_I^external) fail to generate endogenous legitimacy.</w:t>
      </w:r>
    </w:p>
    <w:p>
      <w:pPr>
        <w:spacing w:after="120"/>
      </w:pPr>
      <w:r>
        <w:rPr>
          <w:b/>
          <w:bCs/>
        </w:rPr>
        <w:t xml:space="preserve">The mathematical formulation: </w:t>
      </w:r>
      <w:r>
        <w:t xml:space="preserve">K_sustainable = f(Ψ_S^local, Ψ_L^endogenous), NOT f(Ψ_I^external, Ψ_P^military)</w:t>
      </w:r>
    </w:p>
    <w:p>
      <w:r>
        <w:br w:type="page"/>
      </w:r>
    </w:p>
    <w:p>
      <w:pPr>
        <w:pStyle w:val="Heading1"/>
      </w:pPr>
      <w:r>
        <w:t xml:space="preserve">POLICY RECOMMENDATIONS</w:t>
      </w:r>
    </w:p>
    <w:p>
      <w:pPr>
        <w:spacing w:after="120"/>
      </w:pPr>
      <w:r>
        <w:t xml:space="preserve">Given the analysis above, this memorandum offers the following recommendations for consideration by the National Security Council:</w:t>
      </w:r>
    </w:p>
    <w:p>
      <w:pPr>
        <w:pStyle w:val="Heading2"/>
      </w:pPr>
      <w:r>
        <w:t xml:space="preserve">If Intervention Proceeds</w:t>
      </w:r>
    </w:p>
    <w:p>
      <w:pPr>
        <w:pStyle w:val="ListParagraph"/>
        <w:numPr>
          <w:ilvl w:val="0"/>
          <w:numId w:val="4"/>
        </w:numPr>
      </w:pPr>
      <w:r>
        <w:rPr>
          <w:b/>
          <w:bCs/>
        </w:rPr>
        <w:t xml:space="preserve">Commit to realistic timelines: </w:t>
      </w:r>
      <w:r>
        <w:t xml:space="preserve">Minimum 5-10 year engagement. Any exit strategy shorter than this is operationally unrealistic and will result in Scenario C outcomes.</w:t>
      </w:r>
    </w:p>
    <w:p>
      <w:pPr>
        <w:pStyle w:val="ListParagraph"/>
        <w:numPr>
          <w:ilvl w:val="0"/>
          <w:numId w:val="4"/>
        </w:numPr>
      </w:pPr>
      <w:r>
        <w:rPr>
          <w:b/>
          <w:bCs/>
        </w:rPr>
        <w:t xml:space="preserve">Budget for true costs: </w:t>
      </w:r>
      <w:r>
        <w:t xml:space="preserve">$300-500B over decade. Failure to secure congressional appropriations will force premature withdrawal.</w:t>
      </w:r>
    </w:p>
    <w:p>
      <w:pPr>
        <w:pStyle w:val="ListParagraph"/>
        <w:numPr>
          <w:ilvl w:val="0"/>
          <w:numId w:val="4"/>
        </w:numPr>
      </w:pPr>
      <w:r>
        <w:rPr>
          <w:b/>
          <w:bCs/>
        </w:rPr>
        <w:t xml:space="preserve">Prioritize legitimacy construction: </w:t>
      </w:r>
      <w:r>
        <w:t xml:space="preserve">Elections within 18 months. Chavista political participation essential—exclusion guarantees insurgency.</w:t>
      </w:r>
    </w:p>
    <w:p>
      <w:pPr>
        <w:pStyle w:val="ListParagraph"/>
        <w:numPr>
          <w:ilvl w:val="0"/>
          <w:numId w:val="4"/>
        </w:numPr>
      </w:pPr>
      <w:r>
        <w:rPr>
          <w:b/>
          <w:bCs/>
        </w:rPr>
        <w:t xml:space="preserve">Massive economic commitment: </w:t>
      </w:r>
      <w:r>
        <w:t xml:space="preserve">Marshall Plan-scale reconstruction ($50B+) required to break economic-security trap.</w:t>
      </w:r>
    </w:p>
    <w:p>
      <w:pPr>
        <w:pStyle w:val="ListParagraph"/>
        <w:numPr>
          <w:ilvl w:val="0"/>
          <w:numId w:val="4"/>
        </w:numPr>
      </w:pPr>
      <w:r>
        <w:rPr>
          <w:b/>
          <w:bCs/>
        </w:rPr>
        <w:t xml:space="preserve">Regional diplomatic offensive: </w:t>
      </w:r>
      <w:r>
        <w:t xml:space="preserve">Accept significant costs to maintain minimum Latin American cooperation. Without regional legitimacy, occupation becomes untenable.</w:t>
      </w:r>
    </w:p>
    <w:p>
      <w:pPr>
        <w:pStyle w:val="Heading2"/>
      </w:pPr>
      <w:r>
        <w:t xml:space="preserve">Alternative Strategic Options</w:t>
      </w:r>
    </w:p>
    <w:p>
      <w:pPr>
        <w:pStyle w:val="ListParagraph"/>
        <w:numPr>
          <w:ilvl w:val="0"/>
          <w:numId w:val="4"/>
        </w:numPr>
      </w:pPr>
      <w:r>
        <w:rPr>
          <w:b/>
          <w:bCs/>
        </w:rPr>
        <w:t xml:space="preserve">Strategic patience: </w:t>
      </w:r>
      <w:r>
        <w:t xml:space="preserve">Pre-intervention trajectory showed gradual improvement (K: 0.30 → 0.35). Regime change through internal dynamics, while slower, produces more sustainable outcomes.</w:t>
      </w:r>
    </w:p>
    <w:p>
      <w:pPr>
        <w:pStyle w:val="ListParagraph"/>
        <w:numPr>
          <w:ilvl w:val="0"/>
          <w:numId w:val="4"/>
        </w:numPr>
      </w:pPr>
      <w:r>
        <w:rPr>
          <w:b/>
          <w:bCs/>
        </w:rPr>
        <w:t xml:space="preserve">Targeted pressure: </w:t>
      </w:r>
      <w:r>
        <w:t xml:space="preserve">Sanctions, diplomatic isolation, and support for civil society can accelerate internal change without triggering the feedback loops identified above.</w:t>
      </w:r>
    </w:p>
    <w:p>
      <w:pPr>
        <w:pStyle w:val="ListParagraph"/>
        <w:numPr>
          <w:ilvl w:val="0"/>
          <w:numId w:val="4"/>
        </w:numPr>
      </w:pPr>
      <w:r>
        <w:rPr>
          <w:b/>
          <w:bCs/>
        </w:rPr>
        <w:t xml:space="preserve">Regional coalition: </w:t>
      </w:r>
      <w:r>
        <w:t xml:space="preserve">Any intervention with Latin American participation (however nominal) significantly improves legitimacy prospects.</w:t>
      </w:r>
    </w:p>
    <w:p>
      <w:pPr>
        <w:pStyle w:val="Heading1"/>
      </w:pPr>
      <w:r>
        <w:t xml:space="preserve">CONCLUSION</w:t>
      </w:r>
    </w:p>
    <w:p>
      <w:pPr>
        <w:spacing w:after="120"/>
      </w:pPr>
      <w:r>
        <w:t xml:space="preserve">This analysis concludes that military intervention in Venezuela represents a negative-sum strategic choice. The expected Coherence Index declines from 0.30 to 0.22—a net degradation of systemic stability. No scenario configuration produces aggregate welfare improvements across all stakeholder groups. The intervention destroys value rather than creating it.</w:t>
      </w:r>
    </w:p>
    <w:p>
      <w:pPr>
        <w:spacing w:after="120"/>
      </w:pPr>
      <w:r>
        <w:t xml:space="preserve">The core constraint is the asymmetry of coherence production. External actors possess the capacity to destabilize but not to stabilize. Sustainable order requires endogenous legitimacy, which cannot be imported. This is not a policy preference—it is a structural feature of complex social systems.</w:t>
      </w:r>
    </w:p>
    <w:p>
      <w:pPr>
        <w:spacing w:after="120"/>
      </w:pPr>
      <w:r>
        <w:t xml:space="preserve">The historical record is unambiguous. The Venezuela intervention, if pursued, will likely follow the Iraq trajectory (Scenario B, P = 50%) rather than the Panama trajectory (Scenario A, P = 30%). The probability of catastrophic failure (Scenario C, P = 20%) is non-trivial and represents an unacceptable tail risk.</w:t>
      </w:r>
    </w:p>
    <w:p>
      <w:pPr>
        <w:spacing w:after="120"/>
      </w:pPr>
      <w:r>
        <w:rPr>
          <w:b/>
          <w:bCs/>
        </w:rPr>
        <w:t xml:space="preserve">Final Assessment: </w:t>
      </w:r>
      <w:r>
        <w:rPr>
          <w:b/>
          <w:bCs/>
          <w:color w:val="991b1b"/>
        </w:rPr>
        <w:t xml:space="preserve">Strategic intervention is not recommended. </w:t>
      </w:r>
      <w:r>
        <w:t xml:space="preserve">The expected costs exceed expected benefits across all scenarios. Alternative approaches—strategic patience, targeted pressure, regional coalition-building—offer superior risk-adjusted returns.</w:t>
      </w:r>
    </w:p>
    <w:p>
      <w:pPr>
        <w:pBdr>
          <w:top w:val="single" w:color="1a365d" w:sz="6"/>
        </w:pBdr>
        <w:spacing w:before="400"/>
      </w:pPr>
    </w:p>
    <w:p>
      <w:pPr>
        <w:spacing w:before="200"/>
      </w:pPr>
      <w:r>
        <w:rPr>
          <w:b/>
          <w:bCs/>
        </w:rPr>
        <w:t xml:space="preserve">Prepared by:</w:t>
      </w:r>
    </w:p>
    <w:p>
      <w:r>
        <w:t xml:space="preserve">FehrAdvice &amp; Partners AG</w:t>
      </w:r>
    </w:p>
    <w:p>
      <w:r>
        <w:t xml:space="preserve">Behavioral Economics Analysis Unit</w:t>
      </w:r>
    </w:p>
    <w:p>
      <w:r>
        <w:t xml:space="preserve">Zurich, Switzerland</w:t>
      </w:r>
    </w:p>
    <w:p>
      <w:pPr>
        <w:spacing w:before="200"/>
      </w:pPr>
      <w:r>
        <w:rPr>
          <w:i/>
          <w:iCs/>
        </w:rPr>
        <w:t xml:space="preserve">Methodological Framework: </w:t>
      </w:r>
      <w:r>
        <w:rPr>
          <w:i/>
          <w:iCs/>
        </w:rPr>
        <w:t xml:space="preserve">Complementarity and Context: A Unified Framework for Economic Rationality (Fehr et al., 2026)</w:t>
      </w:r>
    </w:p>
    <w:p>
      <w:pPr>
        <w:spacing w:before="300"/>
        <w:jc w:val="center"/>
      </w:pPr>
      <w:r>
        <w:rPr>
          <w:b/>
          <w:bCs/>
          <w:sz w:val="20"/>
          <w:szCs w:val="20"/>
        </w:rPr>
        <w:t xml:space="preserve">— END OF MEMORANDUM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sz w:val="18"/>
        <w:szCs w:val="18"/>
      </w:rPr>
      <w:t xml:space="preserve"> | FehrAdvice &amp; Partners AG | Strictly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91b1b"/>
        <w:sz w:val="18"/>
        <w:szCs w:val="18"/>
      </w:rPr>
      <w:t xml:space="preserve">POLICY MEMO – 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1a365d"/>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c5282"/>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2026-01-04T08:35:51.737Z</dcterms:created>
  <dcterms:modified xsi:type="dcterms:W3CDTF">2026-01-04T08:35:51.738Z</dcterms:modified>
</cp:coreProperties>
</file>

<file path=docProps/custom.xml><?xml version="1.0" encoding="utf-8"?>
<Properties xmlns="http://schemas.openxmlformats.org/officeDocument/2006/custom-properties" xmlns:vt="http://schemas.openxmlformats.org/officeDocument/2006/docPropsVTypes"/>
</file>