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Kooperationskonzept &amp; Proposal: Behavioral Marketing @ UBS Switzerland</w:t>
      </w:r>
    </w:p>
    <w:p>
      <w:pPr>
        <w:pStyle w:val="Author"/>
      </w:pPr>
      <w:r>
        <w:t xml:space="preserve">FehrAdvice &amp; Partners AG</w:t>
      </w:r>
    </w:p>
    <w:p>
      <w:pPr>
        <w:pStyle w:val="Date"/>
      </w:pPr>
      <w:r>
        <w:t xml:space="preserve">Februar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X093a87520183e8613331919a0716e06c425c641"/>
    <w:p>
      <w:pPr>
        <w:pStyle w:val="Heading1"/>
      </w:pPr>
      <w:r>
        <w:t xml:space="preserve">Kooperationskonzept &amp; Proposal: Behavioral Marketing bei UBS</w:t>
      </w:r>
    </w:p>
    <w:p>
      <w:pPr>
        <w:pStyle w:val="FirstParagraph"/>
      </w:pPr>
      <w:r>
        <w:rPr>
          <w:bCs/>
          <w:b/>
        </w:rPr>
        <w:t xml:space="preserve">FehrAdvice &amp; Partners AG</w:t>
      </w:r>
      <w:r>
        <w:t xml:space="preserve"> </w:t>
      </w:r>
      <w:r>
        <w:rPr>
          <w:bCs/>
          <w:b/>
        </w:rPr>
        <w:t xml:space="preserve">Für:</w:t>
      </w:r>
      <w:r>
        <w:t xml:space="preserve"> </w:t>
      </w:r>
      <w:r>
        <w:t xml:space="preserve">Aydin Sahin, Marketing, UBS Switzerland AG</w:t>
      </w:r>
      <w:r>
        <w:t xml:space="preserve"> </w:t>
      </w:r>
      <w:r>
        <w:rPr>
          <w:bCs/>
          <w:b/>
        </w:rPr>
        <w:t xml:space="preserve">Datum:</w:t>
      </w:r>
      <w:r>
        <w:t xml:space="preserve"> </w:t>
      </w:r>
      <w:r>
        <w:t xml:space="preserve">Februar 2026</w:t>
      </w:r>
      <w:r>
        <w:t xml:space="preserve"> </w:t>
      </w:r>
      <w:r>
        <w:rPr>
          <w:bCs/>
          <w:b/>
        </w:rPr>
        <w:t xml:space="preserve">Version:</w:t>
      </w:r>
      <w:r>
        <w:t xml:space="preserve"> </w:t>
      </w:r>
      <w:r>
        <w:t xml:space="preserve">2.0</w:t>
      </w:r>
      <w:r>
        <w:t xml:space="preserve"> </w:t>
      </w:r>
      <w:r>
        <w:rPr>
          <w:bCs/>
          <w:b/>
        </w:rPr>
        <w:t xml:space="preserve">Dokumenttyp:</w:t>
      </w:r>
      <w:r>
        <w:t xml:space="preserve"> </w:t>
      </w:r>
      <w:r>
        <w:t xml:space="preserve">Strategisches Kooperationskonzept &amp; Proposal</w:t>
      </w:r>
      <w:r>
        <w:t xml:space="preserve"> </w:t>
      </w:r>
      <w:r>
        <w:rPr>
          <w:bCs/>
          <w:b/>
        </w:rPr>
        <w:t xml:space="preserve">Vertraulich</w:t>
      </w:r>
    </w:p>
    <w:p>
      <w:r>
        <w:pict>
          <v:rect style="width:0;height:1.5pt" o:hralign="center" o:hrstd="t" o:hr="t"/>
        </w:pict>
      </w:r>
    </w:p>
    <w:bookmarkStart w:id="20" w:name="management-summary"/>
    <w:p>
      <w:pPr>
        <w:pStyle w:val="Heading2"/>
      </w:pPr>
      <w:r>
        <w:t xml:space="preserve">Management Summary</w:t>
      </w:r>
    </w:p>
    <w:p>
      <w:pPr>
        <w:pStyle w:val="FirstParagraph"/>
      </w:pPr>
      <w:r>
        <w:t xml:space="preserve">Die Marketing-Landschaft im Schweizer Banking verändert sich grundlegend — getrieben durch GenAI, Behavioral AI, Plattform-Verschiebungen und regulatorische Entwicklung. Diese Veränderung kommt unabhängig davon, ob die UBS sie aktiv gestaltet oder nicht.</w:t>
      </w:r>
    </w:p>
    <w:p>
      <w:pPr>
        <w:pStyle w:val="BodyText"/>
      </w:pPr>
      <w:r>
        <w:t xml:space="preserve">Dieses Dokument analysiert zunächst, wohin der Markt geht und welche strategischen Optionen sich für die UBS daraus ergeben. Es zeigt dann, warum Marketing ein besonders geeigneter Kandidat für eine führende Rolle («Marketing ++») in der UBS-Transformation ist — und wie FehrAdvice als strategisches Backbone diese Ambition ermöglicht.</w:t>
      </w:r>
    </w:p>
    <w:p>
      <w:pPr>
        <w:pStyle w:val="BodyText"/>
      </w:pPr>
      <w:r>
        <w:t xml:space="preserve">Das Kooperationsmodell basiert auf einer jährlichen Strategiepartnerschaft (ca. CHF 100’000/Jahr) mit inkludierten Analysen und ergänzenden Sonderprojekten (ca. CHF 40’000–50’000 pro Projekt). BEATRIX Silicon Samples ersetzen dabei einen Grossteil traditioneller Marktforschung und Experimente — schneller, günstiger, und mit dem Vorteil kalibrierter Daten dort, wo empirische Lücken bestehen.</w:t>
      </w:r>
    </w:p>
    <w:p>
      <w:r>
        <w:pict>
          <v:rect style="width:0;height:1.5pt" o:hralign="center" o:hrstd="t" o:hr="t"/>
        </w:pict>
      </w:r>
    </w:p>
    <w:bookmarkEnd w:id="20"/>
    <w:bookmarkStart w:id="24" w:name="X3e2ad782cb567a49560bf48f37fbfaf6806ed22"/>
    <w:p>
      <w:pPr>
        <w:pStyle w:val="Heading2"/>
      </w:pPr>
      <w:r>
        <w:t xml:space="preserve">Teil 1: Der Markt — Wohin er geht, unabhängig von der UBS</w:t>
      </w:r>
    </w:p>
    <w:bookmarkStart w:id="21" w:name="X7ba2d072e985ae16a0439ef159a140d930790de"/>
    <w:p>
      <w:pPr>
        <w:pStyle w:val="Heading3"/>
      </w:pPr>
      <w:r>
        <w:t xml:space="preserve">1.1 Vier Kräfte verändern Bankmarketing fundamental</w:t>
      </w:r>
    </w:p>
    <w:p>
      <w:pPr>
        <w:pStyle w:val="FirstParagraph"/>
      </w:pPr>
      <w:r>
        <w:t xml:space="preserve">Das Schweizer Bankmarketing steht vor einer Transformation, die von vier Kräften gleichzeitig getrieben wird. Keine dieser Kräfte kann ignoriert werden — die Frage ist nur, wie schnell und wie grundlegend sie wirken.</w:t>
      </w:r>
    </w:p>
    <w:p>
      <w:pPr>
        <w:pStyle w:val="BodyText"/>
      </w:pPr>
      <w:r>
        <w:rPr>
          <w:bCs/>
          <w:b/>
        </w:rPr>
        <w:t xml:space="preserve">Kraft 1: Generative AI — Die Produktionsrevolution</w:t>
      </w:r>
    </w:p>
    <w:p>
      <w:pPr>
        <w:pStyle w:val="BodyText"/>
      </w:pPr>
      <w:r>
        <w:t xml:space="preserve">GenAI automatisiert die Kampagnenproduktion. Texte, Bilder, Varianten, Personalisierung — was heute Teams und Agenturen beschäftigt, wird zunehmend maschinell erzeugt. JP Morgan generiert mit Persado AI bereits Kampagnen-Headlines und verzeichnet bis zu +450% höheres Engagement gegenüber manuell erstellten Varianten. Die Produktionsseite von Marketing wird in 2–3 Jahren radikal effizienter sein — bei jeder Bank, nicht nur bei Vorreitern.</w:t>
      </w:r>
    </w:p>
    <w:p>
      <w:pPr>
        <w:pStyle w:val="BodyText"/>
      </w:pPr>
      <w:r>
        <w:t xml:space="preserve">Aber: GenAI macht Marketing schneller, nicht zwingend besser. Ohne die richtige inhaltliche Steuerung produziert GenAI effizient das Falsche — mehr Output bei gleicher Conversion-Rate. Die Industrialisierung des Mittelmasses.</w:t>
      </w:r>
    </w:p>
    <w:p>
      <w:pPr>
        <w:pStyle w:val="BodyText"/>
      </w:pPr>
      <w:r>
        <w:rPr>
          <w:bCs/>
          <w:b/>
        </w:rPr>
        <w:t xml:space="preserve">Kraft 2: Behavioral AI — Die Entscheidungsrevolution</w:t>
      </w:r>
    </w:p>
    <w:p>
      <w:pPr>
        <w:pStyle w:val="BodyText"/>
      </w:pPr>
      <w:r>
        <w:t xml:space="preserve">Parallel zur Produktionsrevolution entsteht eine zweite, tiefere Veränderung: die Fähigkeit, menschliches Entscheidungsverhalten systematisch zu verstehen und in Marketing-Strategien einzubauen. Behavioral AI verbindet Verhaltensökonomie mit algorithmischer Skalierung.</w:t>
      </w:r>
    </w:p>
    <w:p>
      <w:pPr>
        <w:pStyle w:val="BodyText"/>
      </w:pPr>
      <w:r>
        <w:t xml:space="preserve">Der Unterschied: GenAI beantwortet die Frage «Wie sage ich es schneller?». Behavioral AI beantwortet die Frage «Was sage ich, damit Menschen besser entscheiden?». Das eine ist Effizienz, das andere ist Effektivität.</w:t>
      </w:r>
    </w:p>
    <w:p>
      <w:pPr>
        <w:pStyle w:val="BodyText"/>
      </w:pPr>
      <w:r>
        <w:t xml:space="preserve">BEATRIX — das gemeinsam mit der ZHAW entwickelte Tool für Silicon Samples — gehört zu dieser zweiten Kategorie. Es simuliert die Reaktion von 1’000 synthetischen Kund:innen auf verschiedene Kampagnen-Varianten, bevor diese live geschaltet werden.</w:t>
      </w:r>
    </w:p>
    <w:p>
      <w:pPr>
        <w:pStyle w:val="BodyText"/>
      </w:pPr>
      <w:r>
        <w:rPr>
          <w:bCs/>
          <w:b/>
        </w:rPr>
        <w:t xml:space="preserve">Kraft 3: Plattform-Verschiebung — Entscheidungen wandern</w:t>
      </w:r>
    </w:p>
    <w:p>
      <w:pPr>
        <w:pStyle w:val="BodyText"/>
      </w:pPr>
      <w:r>
        <w:t xml:space="preserve">Kund:innen treffen Finanzentscheidungen zunehmend ausserhalb der Bank: auf Vergleichsplattformen, in Embedded-Finance-Angeboten, über Social-Media-Empfehlungen. Die Kontrolle über den Entscheidungskontext verschiebt sich. Marketing, das nur innerhalb der eigenen Kanäle denkt, erreicht einen schrumpfenden Anteil der Entscheidungsmomente.</w:t>
      </w:r>
    </w:p>
    <w:p>
      <w:pPr>
        <w:pStyle w:val="BodyText"/>
      </w:pPr>
      <w:r>
        <w:rPr>
          <w:bCs/>
          <w:b/>
        </w:rPr>
        <w:t xml:space="preserve">Kraft 4: Regulatorische Entwicklung — Neue Spielregeln</w:t>
      </w:r>
    </w:p>
    <w:p>
      <w:pPr>
        <w:pStyle w:val="BodyText"/>
      </w:pPr>
      <w:r>
        <w:t xml:space="preserve">Der EU AI Act, die FINMA-Regulierung zu algorithmischer Entscheidungsfindung, das revidierte DSG — der regulatorische Rahmen für datengetriebenes Marketing wird enger und komplexer. Wer Behavioral AI und GenAI nutzen will, muss Compliance von Anfang an mitdenken. Wer wartet, bis reguliert wird, hat einen Nachteil gegenüber denjenigen, die den Standard proaktiv mitgestalten.</w:t>
      </w:r>
    </w:p>
    <w:bookmarkEnd w:id="21"/>
    <w:bookmarkStart w:id="22" w:name="Xe5217336be445500928a6c6794e9a00c339bbba"/>
    <w:p>
      <w:pPr>
        <w:pStyle w:val="Heading3"/>
      </w:pPr>
      <w:r>
        <w:t xml:space="preserve">1.2 Die Markt-Geschwindigkeit: Wer bewegt sich wie schnell?</w:t>
      </w:r>
    </w:p>
    <w:p>
      <w:pPr>
        <w:pStyle w:val="FirstParagraph"/>
      </w:pPr>
      <w:r>
        <w:t xml:space="preserve">Nicht alle Akteure im Schweizer Bankenmarkt bewegen sich gleich schnell. Die Geschwindigkeitsunterschiede sind strukturell — sie hängen von Grösse, Legacy-Systemen, Governance und Kultur ab.</w:t>
      </w:r>
    </w:p>
    <w:p>
      <w:pPr>
        <w:pStyle w:val="SourceCode"/>
      </w:pPr>
      <w:r>
        <w:rPr>
          <w:rStyle w:val="VerbatimChar"/>
        </w:rPr>
        <w:t xml:space="preserve">GESCHWINDIGKEIT DER AKTEURE</w:t>
      </w:r>
      <w:r>
        <w:br/>
      </w:r>
      <w:r>
        <w:br/>
      </w:r>
      <w:r>
        <w:rPr>
          <w:rStyle w:val="VerbatimChar"/>
        </w:rPr>
        <w:t xml:space="preserve">Schnell ───────────────────────────────────────────────────── Langsam</w:t>
      </w:r>
      <w:r>
        <w:br/>
      </w:r>
      <w:r>
        <w:br/>
      </w:r>
      <w:r>
        <w:rPr>
          <w:rStyle w:val="VerbatimChar"/>
        </w:rPr>
        <w:t xml:space="preserve">FinTechs         Grossbanken        Regionalbanken      Kantonalbanken</w:t>
      </w:r>
      <w:r>
        <w:br/>
      </w:r>
      <w:r>
        <w:rPr>
          <w:rStyle w:val="VerbatimChar"/>
        </w:rPr>
        <w:t xml:space="preserve">(Neon, Yuh)      (UBS, CS→UBS)      (Valiant, GKB)      (LUKB, BEKB, ZKB)</w:t>
      </w:r>
      <w:r>
        <w:br/>
      </w:r>
      <w:r>
        <w:br/>
      </w:r>
      <w:r>
        <w:rPr>
          <w:rStyle w:val="VerbatimChar"/>
        </w:rPr>
        <w:t xml:space="preserve">Digital-native    Market-Plus         Market-Follower     Konservativ</w:t>
      </w:r>
      <w:r>
        <w:br/>
      </w:r>
      <w:r>
        <w:rPr>
          <w:rStyle w:val="VerbatimChar"/>
        </w:rPr>
        <w:t xml:space="preserve">Keine Legacy      Grosse Legacy       Mittlere Legacy     Starke Legacy</w:t>
      </w:r>
      <w:r>
        <w:br/>
      </w:r>
      <w:r>
        <w:rPr>
          <w:rStyle w:val="VerbatimChar"/>
        </w:rPr>
        <w:t xml:space="preserve">Schnelle Zyklen   6-12 Wochen        3-6 Monate          6-12 Monate</w:t>
      </w:r>
      <w:r>
        <w:br/>
      </w:r>
      <w:r>
        <w:rPr>
          <w:rStyle w:val="VerbatimChar"/>
        </w:rPr>
        <w:t xml:space="preserve">Agil              Matrix              Hierarchisch        Politisch</w:t>
      </w:r>
      <w:r>
        <w:br/>
      </w:r>
      <w:r>
        <w:br/>
      </w:r>
      <w:r>
        <w:rPr>
          <w:rStyle w:val="VerbatimChar"/>
        </w:rPr>
        <w:t xml:space="preserve">BEHAVIORAL MARKETING ADOPTION:</w:t>
      </w:r>
      <w:r>
        <w:br/>
      </w:r>
      <w:r>
        <w:rPr>
          <w:rStyle w:val="VerbatimChar"/>
        </w:rPr>
        <w:t xml:space="preserve">FinTechs:         Intuitiv (ohne Framework)</w:t>
      </w:r>
      <w:r>
        <w:br/>
      </w:r>
      <w:r>
        <w:rPr>
          <w:rStyle w:val="VerbatimChar"/>
        </w:rPr>
        <w:t xml:space="preserve">Grossbanken:      Punktuell (einzelne Kampagnen)</w:t>
      </w:r>
      <w:r>
        <w:br/>
      </w:r>
      <w:r>
        <w:rPr>
          <w:rStyle w:val="VerbatimChar"/>
        </w:rPr>
        <w:t xml:space="preserve">Regionalbanken:   Kaum</w:t>
      </w:r>
      <w:r>
        <w:br/>
      </w:r>
      <w:r>
        <w:rPr>
          <w:rStyle w:val="VerbatimChar"/>
        </w:rPr>
        <w:t xml:space="preserve">Kantonalbanken:   Nicht vorhanden</w:t>
      </w:r>
    </w:p>
    <w:p>
      <w:pPr>
        <w:pStyle w:val="FirstParagraph"/>
      </w:pPr>
      <w:r>
        <w:rPr>
          <w:bCs/>
          <w:b/>
        </w:rPr>
        <w:t xml:space="preserve">Die Realität der UBS:</w:t>
      </w:r>
      <w:r>
        <w:t xml:space="preserve"> </w:t>
      </w:r>
      <w:r>
        <w:t xml:space="preserve">Die UBS war historisch immer «Market-Plus» — etwas besser als der Markt, aber nie Technology-Leader. Das ist eine bewusste Positionierung: genug Innovation, um wettbewerbsfähig zu sein, ohne das Risiko des First Movers. Diese Positionierung hat sich in der Vergangenheit bewährt.</w:t>
      </w:r>
    </w:p>
    <w:p>
      <w:pPr>
        <w:pStyle w:val="BodyText"/>
      </w:pPr>
      <w:r>
        <w:t xml:space="preserve">Die Frage ist: Reicht «Market-Plus» in einer Phase, in der sich die Grundlogik von Marketing verändert? Wenn der Markt sich nicht linear, sondern sprunghaft bewegt — reicht es, etwas besser zu sein als der Durchschnitt?</w:t>
      </w:r>
    </w:p>
    <w:bookmarkEnd w:id="22"/>
    <w:bookmarkStart w:id="23" w:name="vier-szenarien-was-kommt-auf-die-ubs-zu"/>
    <w:p>
      <w:pPr>
        <w:pStyle w:val="Heading3"/>
      </w:pPr>
      <w:r>
        <w:t xml:space="preserve">1.3 Vier Szenarien: Was kommt auf die UBS zu?</w:t>
      </w:r>
    </w:p>
    <w:p>
      <w:pPr>
        <w:pStyle w:val="FirstParagraph"/>
      </w:pPr>
      <w:r>
        <w:t xml:space="preserve">Aus den vier Kräften und den unterschiedlichen Marktgeschwindigkeiten ergeben sich vier plausible Szenarien für die nächsten 24–36 Monate:</w:t>
      </w:r>
    </w:p>
    <w:tbl>
      <w:tblPr>
        <w:tblStyle w:val="Table"/>
        <w:tblW w:type="pct" w:w="5000"/>
        <w:tblLook w:firstRow="1" w:lastRow="0" w:firstColumn="0" w:lastColumn="0" w:noHBand="0" w:noVBand="0" w:val="0020"/>
        <w:jc w:val="start"/>
      </w:tblPr>
      <w:tblGrid>
        <w:gridCol w:w="1164"/>
        <w:gridCol w:w="1514"/>
        <w:gridCol w:w="2212"/>
        <w:gridCol w:w="3028"/>
      </w:tblGrid>
      <w:tr>
        <w:trPr>
          <w:tblHeader w:val="true"/>
        </w:trPr>
        <w:tc>
          <w:tcPr/>
          <w:p>
            <w:pPr>
              <w:pStyle w:val="Compact"/>
              <w:jc w:val="left"/>
            </w:pPr>
            <w:r>
              <w:t xml:space="preserve">Szenario</w:t>
            </w:r>
          </w:p>
        </w:tc>
        <w:tc>
          <w:tcPr/>
          <w:p>
            <w:pPr>
              <w:pStyle w:val="Compact"/>
              <w:jc w:val="left"/>
            </w:pPr>
            <w:r>
              <w:t xml:space="preserve">Beschreibung</w:t>
            </w:r>
          </w:p>
        </w:tc>
        <w:tc>
          <w:tcPr/>
          <w:p>
            <w:pPr>
              <w:pStyle w:val="Compact"/>
              <w:jc w:val="left"/>
            </w:pPr>
            <w:r>
              <w:t xml:space="preserve">Wahrscheinlichkeit</w:t>
            </w:r>
          </w:p>
        </w:tc>
        <w:tc>
          <w:tcPr/>
          <w:p>
            <w:pPr>
              <w:pStyle w:val="Compact"/>
              <w:jc w:val="left"/>
            </w:pPr>
            <w:r>
              <w:t xml:space="preserve">Was passiert im Marketing?</w:t>
            </w:r>
          </w:p>
        </w:tc>
      </w:tr>
      <w:tr>
        <w:tc>
          <w:tcPr/>
          <w:p>
            <w:pPr>
              <w:pStyle w:val="Compact"/>
              <w:jc w:val="left"/>
            </w:pPr>
            <w:r>
              <w:rPr>
                <w:bCs/>
                <w:b/>
              </w:rPr>
              <w:t xml:space="preserve">S1: Status Quo</w:t>
            </w:r>
          </w:p>
        </w:tc>
        <w:tc>
          <w:tcPr/>
          <w:p>
            <w:pPr>
              <w:pStyle w:val="Compact"/>
              <w:jc w:val="left"/>
            </w:pPr>
            <w:r>
              <w:t xml:space="preserve">Keine der 4 Kräfte wirkt disruptiv</w:t>
            </w:r>
          </w:p>
        </w:tc>
        <w:tc>
          <w:tcPr/>
          <w:p>
            <w:pPr>
              <w:pStyle w:val="Compact"/>
              <w:jc w:val="left"/>
            </w:pPr>
            <w:r>
              <w:t xml:space="preserve">~15%</w:t>
            </w:r>
          </w:p>
        </w:tc>
        <w:tc>
          <w:tcPr/>
          <w:p>
            <w:pPr>
              <w:pStyle w:val="Compact"/>
              <w:jc w:val="left"/>
            </w:pPr>
            <w:r>
              <w:t xml:space="preserve">Inkrementelle Verbesserung. Business as usual.</w:t>
            </w:r>
          </w:p>
        </w:tc>
      </w:tr>
      <w:tr>
        <w:tc>
          <w:tcPr/>
          <w:p>
            <w:pPr>
              <w:pStyle w:val="Compact"/>
              <w:jc w:val="left"/>
            </w:pPr>
            <w:r>
              <w:rPr>
                <w:bCs/>
                <w:b/>
              </w:rPr>
              <w:t xml:space="preserve">S2: GenAI-Adoption</w:t>
            </w:r>
          </w:p>
        </w:tc>
        <w:tc>
          <w:tcPr/>
          <w:p>
            <w:pPr>
              <w:pStyle w:val="Compact"/>
              <w:jc w:val="left"/>
            </w:pPr>
            <w:r>
              <w:t xml:space="preserve">Kraft 1 dominiert. Content wird automatisiert.</w:t>
            </w:r>
          </w:p>
        </w:tc>
        <w:tc>
          <w:tcPr/>
          <w:p>
            <w:pPr>
              <w:pStyle w:val="Compact"/>
              <w:jc w:val="left"/>
            </w:pPr>
            <w:r>
              <w:t xml:space="preserve">~40%</w:t>
            </w:r>
          </w:p>
        </w:tc>
        <w:tc>
          <w:tcPr/>
          <w:p>
            <w:pPr>
              <w:pStyle w:val="Compact"/>
              <w:jc w:val="left"/>
            </w:pPr>
            <w:r>
              <w:t xml:space="preserve">Schnellere Produktion, aber gleiche Denkmuster. Personalisierung ja, Behavioralisierung nein.</w:t>
            </w:r>
          </w:p>
        </w:tc>
      </w:tr>
      <w:tr>
        <w:tc>
          <w:tcPr/>
          <w:p>
            <w:pPr>
              <w:pStyle w:val="Compact"/>
              <w:jc w:val="left"/>
            </w:pPr>
            <w:r>
              <w:rPr>
                <w:bCs/>
                <w:b/>
              </w:rPr>
              <w:t xml:space="preserve">S3: Behavioral Marketing</w:t>
            </w:r>
          </w:p>
        </w:tc>
        <w:tc>
          <w:tcPr/>
          <w:p>
            <w:pPr>
              <w:pStyle w:val="Compact"/>
              <w:jc w:val="left"/>
            </w:pPr>
            <w:r>
              <w:t xml:space="preserve">Kraft 1+2 wirken zusammen.</w:t>
            </w:r>
          </w:p>
        </w:tc>
        <w:tc>
          <w:tcPr/>
          <w:p>
            <w:pPr>
              <w:pStyle w:val="Compact"/>
              <w:jc w:val="left"/>
            </w:pPr>
            <w:r>
              <w:t xml:space="preserve">~30%</w:t>
            </w:r>
          </w:p>
        </w:tc>
        <w:tc>
          <w:tcPr/>
          <w:p>
            <w:pPr>
              <w:pStyle w:val="Compact"/>
              <w:jc w:val="left"/>
            </w:pPr>
            <w:r>
              <w:t xml:space="preserve">Paradigmenwechsel: Marketing = Entscheidungsbegleitung. Neue Segmentierung, neue Metriken, neue Prozesse.</w:t>
            </w:r>
          </w:p>
        </w:tc>
      </w:tr>
      <w:tr>
        <w:tc>
          <w:tcPr/>
          <w:p>
            <w:pPr>
              <w:pStyle w:val="Compact"/>
              <w:jc w:val="left"/>
            </w:pPr>
            <w:r>
              <w:rPr>
                <w:bCs/>
                <w:b/>
              </w:rPr>
              <w:t xml:space="preserve">S4: System-Transformation</w:t>
            </w:r>
          </w:p>
        </w:tc>
        <w:tc>
          <w:tcPr/>
          <w:p>
            <w:pPr>
              <w:pStyle w:val="Compact"/>
              <w:jc w:val="left"/>
            </w:pPr>
            <w:r>
              <w:t xml:space="preserve">Alle 4 Kräfte wirken gleichzeitig.</w:t>
            </w:r>
          </w:p>
        </w:tc>
        <w:tc>
          <w:tcPr/>
          <w:p>
            <w:pPr>
              <w:pStyle w:val="Compact"/>
              <w:jc w:val="left"/>
            </w:pPr>
            <w:r>
              <w:t xml:space="preserve">~15%</w:t>
            </w:r>
          </w:p>
        </w:tc>
        <w:tc>
          <w:tcPr/>
          <w:p>
            <w:pPr>
              <w:pStyle w:val="Compact"/>
              <w:jc w:val="left"/>
            </w:pPr>
            <w:r>
              <w:t xml:space="preserve">Marketing verschmilzt mit Produkt und Service zu einem Customer Decision System.</w:t>
            </w:r>
          </w:p>
        </w:tc>
      </w:tr>
    </w:tbl>
    <w:p>
      <w:pPr>
        <w:pStyle w:val="BodyText"/>
      </w:pPr>
      <w:r>
        <w:rPr>
          <w:bCs/>
          <w:b/>
        </w:rPr>
        <w:t xml:space="preserve">Entscheidend:</w:t>
      </w:r>
      <w:r>
        <w:t xml:space="preserve"> </w:t>
      </w:r>
      <w:r>
        <w:t xml:space="preserve">S1 und S2 kommen «von selbst» — sie erfordern keine strategische Entscheidung, sondern nur operative Anpassung. S3 und S4 erfordern eine aktive Management-Entscheidung. Und genau hier beginnt der strategische Teil dieses Konzepts.</w:t>
      </w:r>
    </w:p>
    <w:p>
      <w:r>
        <w:pict>
          <v:rect style="width:0;height:1.5pt" o:hralign="center" o:hrstd="t" o:hr="t"/>
        </w:pict>
      </w:r>
    </w:p>
    <w:bookmarkEnd w:id="23"/>
    <w:bookmarkEnd w:id="24"/>
    <w:bookmarkStart w:id="29" w:name="Xe32a3f6eef6be778042eed6d23512e0b8ab303a"/>
    <w:p>
      <w:pPr>
        <w:pStyle w:val="Heading2"/>
      </w:pPr>
      <w:r>
        <w:t xml:space="preserve">Teil 2: Die strategische Entscheidung — Was kann die UBS beeinflussen?</w:t>
      </w:r>
    </w:p>
    <w:bookmarkStart w:id="25" w:name="drei-strategische-optionen"/>
    <w:p>
      <w:pPr>
        <w:pStyle w:val="Heading3"/>
      </w:pPr>
      <w:r>
        <w:t xml:space="preserve">2.1 Drei strategische Optionen</w:t>
      </w:r>
    </w:p>
    <w:p>
      <w:pPr>
        <w:pStyle w:val="FirstParagraph"/>
      </w:pPr>
      <w:r>
        <w:t xml:space="preserve">Die UBS kann die vier Marktkräfte nicht aufhalten. Aber sie kann entscheiden, wie sie sich dazu verhält. Es gibt drei grundsätzliche Optionen:</w:t>
      </w:r>
    </w:p>
    <w:p>
      <w:pPr>
        <w:pStyle w:val="BodyText"/>
      </w:pPr>
      <w:r>
        <w:rPr>
          <w:bCs/>
          <w:b/>
        </w:rPr>
        <w:t xml:space="preserve">Option A: «Market Follower» — Mitgehen, nicht führen</w:t>
      </w:r>
    </w:p>
    <w:p>
      <w:pPr>
        <w:pStyle w:val="BodyText"/>
      </w:pPr>
      <w:r>
        <w:t xml:space="preserve">Die UBS wartet ab, beobachtet was Wettbewerber machen, und adaptiert bewährte Ansätze mit 12–18 Monaten Verzögerung. GenAI wird eingeführt, wenn es Standard ist. Behavioral Marketing wird übernommen, wenn andere es vorgemacht haben.</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Aspekt</w:t>
            </w:r>
          </w:p>
        </w:tc>
        <w:tc>
          <w:tcPr/>
          <w:p>
            <w:pPr>
              <w:pStyle w:val="Compact"/>
              <w:jc w:val="left"/>
            </w:pPr>
            <w:r>
              <w:t xml:space="preserve">Bewertung</w:t>
            </w:r>
          </w:p>
        </w:tc>
      </w:tr>
      <w:tr>
        <w:tc>
          <w:tcPr/>
          <w:p>
            <w:pPr>
              <w:pStyle w:val="Compact"/>
              <w:jc w:val="left"/>
            </w:pPr>
            <w:r>
              <w:t xml:space="preserve">Risiko</w:t>
            </w:r>
          </w:p>
        </w:tc>
        <w:tc>
          <w:tcPr/>
          <w:p>
            <w:pPr>
              <w:pStyle w:val="Compact"/>
              <w:jc w:val="left"/>
            </w:pPr>
            <w:r>
              <w:t xml:space="preserve">Niedrig — keine Fehlentscheidungen, kein First-Mover-Risiko</w:t>
            </w:r>
          </w:p>
        </w:tc>
      </w:tr>
      <w:tr>
        <w:tc>
          <w:tcPr/>
          <w:p>
            <w:pPr>
              <w:pStyle w:val="Compact"/>
              <w:jc w:val="left"/>
            </w:pPr>
            <w:r>
              <w:t xml:space="preserve">Kosten</w:t>
            </w:r>
          </w:p>
        </w:tc>
        <w:tc>
          <w:tcPr/>
          <w:p>
            <w:pPr>
              <w:pStyle w:val="Compact"/>
              <w:jc w:val="left"/>
            </w:pPr>
            <w:r>
              <w:t xml:space="preserve">Niedrig kurzfristig, potenziell hoch langfristig (Aufhol-Effekt)</w:t>
            </w:r>
          </w:p>
        </w:tc>
      </w:tr>
      <w:tr>
        <w:tc>
          <w:tcPr/>
          <w:p>
            <w:pPr>
              <w:pStyle w:val="Compact"/>
              <w:jc w:val="left"/>
            </w:pPr>
            <w:r>
              <w:t xml:space="preserve">Geschwindigkeit</w:t>
            </w:r>
          </w:p>
        </w:tc>
        <w:tc>
          <w:tcPr/>
          <w:p>
            <w:pPr>
              <w:pStyle w:val="Compact"/>
              <w:jc w:val="left"/>
            </w:pPr>
            <w:r>
              <w:t xml:space="preserve">Langsam — bewusst 12–18 Monate hinter dem Markt</w:t>
            </w:r>
          </w:p>
        </w:tc>
      </w:tr>
      <w:tr>
        <w:tc>
          <w:tcPr/>
          <w:p>
            <w:pPr>
              <w:pStyle w:val="Compact"/>
              <w:jc w:val="left"/>
            </w:pPr>
            <w:r>
              <w:t xml:space="preserve">Legacy-Kompatibilität</w:t>
            </w:r>
          </w:p>
        </w:tc>
        <w:tc>
          <w:tcPr/>
          <w:p>
            <w:pPr>
              <w:pStyle w:val="Compact"/>
              <w:jc w:val="left"/>
            </w:pPr>
            <w:r>
              <w:t xml:space="preserve">Hoch — keine Systemänderung nötig</w:t>
            </w:r>
          </w:p>
        </w:tc>
      </w:tr>
      <w:tr>
        <w:tc>
          <w:tcPr/>
          <w:p>
            <w:pPr>
              <w:pStyle w:val="Compact"/>
              <w:jc w:val="left"/>
            </w:pPr>
            <w:r>
              <w:t xml:space="preserve">Wettbewerbsposition</w:t>
            </w:r>
          </w:p>
        </w:tc>
        <w:tc>
          <w:tcPr/>
          <w:p>
            <w:pPr>
              <w:pStyle w:val="Compact"/>
              <w:jc w:val="left"/>
            </w:pPr>
            <w:r>
              <w:t xml:space="preserve">Erosion — FinTechs und agile Wettbewerber gewinnen Anteile</w:t>
            </w:r>
          </w:p>
        </w:tc>
      </w:tr>
      <w:tr>
        <w:tc>
          <w:tcPr/>
          <w:p>
            <w:pPr>
              <w:pStyle w:val="Compact"/>
              <w:jc w:val="left"/>
            </w:pPr>
            <w:r>
              <w:t xml:space="preserve">Passt zu UBS?</w:t>
            </w:r>
          </w:p>
        </w:tc>
        <w:tc>
          <w:tcPr/>
          <w:p>
            <w:pPr>
              <w:pStyle w:val="Compact"/>
              <w:jc w:val="left"/>
            </w:pPr>
            <w:r>
              <w:t xml:space="preserve">Unter dem historischen «Market-Plus» Niveau</w:t>
            </w:r>
          </w:p>
        </w:tc>
      </w:tr>
    </w:tbl>
    <w:p>
      <w:pPr>
        <w:pStyle w:val="BodyText"/>
      </w:pPr>
      <w:r>
        <w:rPr>
          <w:bCs/>
          <w:b/>
        </w:rPr>
        <w:t xml:space="preserve">Option B: «Market-Plus» — Die UBS-Baseline fortschreiben</w:t>
      </w:r>
    </w:p>
    <w:p>
      <w:pPr>
        <w:pStyle w:val="BodyText"/>
      </w:pPr>
      <w:r>
        <w:t xml:space="preserve">Die UBS setzt GenAI zeitnah ein (nicht als Erste, aber unter den Ersten), beobachtet Behavioral Marketing aufmerksam und implementiert es selektiv dort, wo der Business Case klar ist. Keine Revolution, aber konsequente Evolution.</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Aspekt</w:t>
            </w:r>
          </w:p>
        </w:tc>
        <w:tc>
          <w:tcPr/>
          <w:p>
            <w:pPr>
              <w:pStyle w:val="Compact"/>
              <w:jc w:val="left"/>
            </w:pPr>
            <w:r>
              <w:t xml:space="preserve">Bewertung</w:t>
            </w:r>
          </w:p>
        </w:tc>
      </w:tr>
      <w:tr>
        <w:tc>
          <w:tcPr/>
          <w:p>
            <w:pPr>
              <w:pStyle w:val="Compact"/>
              <w:jc w:val="left"/>
            </w:pPr>
            <w:r>
              <w:t xml:space="preserve">Risiko</w:t>
            </w:r>
          </w:p>
        </w:tc>
        <w:tc>
          <w:tcPr/>
          <w:p>
            <w:pPr>
              <w:pStyle w:val="Compact"/>
              <w:jc w:val="left"/>
            </w:pPr>
            <w:r>
              <w:t xml:space="preserve">Mittel — kontrollierte Innovation, keine grossen Wetten</w:t>
            </w:r>
          </w:p>
        </w:tc>
      </w:tr>
      <w:tr>
        <w:tc>
          <w:tcPr/>
          <w:p>
            <w:pPr>
              <w:pStyle w:val="Compact"/>
              <w:jc w:val="left"/>
            </w:pPr>
            <w:r>
              <w:t xml:space="preserve">Kosten</w:t>
            </w:r>
          </w:p>
        </w:tc>
        <w:tc>
          <w:tcPr/>
          <w:p>
            <w:pPr>
              <w:pStyle w:val="Compact"/>
              <w:jc w:val="left"/>
            </w:pPr>
            <w:r>
              <w:t xml:space="preserve">Mittel — selektive Investitionen in Piloten und Enablement</w:t>
            </w:r>
          </w:p>
        </w:tc>
      </w:tr>
      <w:tr>
        <w:tc>
          <w:tcPr/>
          <w:p>
            <w:pPr>
              <w:pStyle w:val="Compact"/>
              <w:jc w:val="left"/>
            </w:pPr>
            <w:r>
              <w:t xml:space="preserve">Geschwindigkeit</w:t>
            </w:r>
          </w:p>
        </w:tc>
        <w:tc>
          <w:tcPr/>
          <w:p>
            <w:pPr>
              <w:pStyle w:val="Compact"/>
              <w:jc w:val="left"/>
            </w:pPr>
            <w:r>
              <w:t xml:space="preserve">Moderat — 3–6 Monate nach First Movers</w:t>
            </w:r>
          </w:p>
        </w:tc>
      </w:tr>
      <w:tr>
        <w:tc>
          <w:tcPr/>
          <w:p>
            <w:pPr>
              <w:pStyle w:val="Compact"/>
              <w:jc w:val="left"/>
            </w:pPr>
            <w:r>
              <w:t xml:space="preserve">Legacy-Kompatibilität</w:t>
            </w:r>
          </w:p>
        </w:tc>
        <w:tc>
          <w:tcPr/>
          <w:p>
            <w:pPr>
              <w:pStyle w:val="Compact"/>
              <w:jc w:val="left"/>
            </w:pPr>
            <w:r>
              <w:t xml:space="preserve">Mittel — punktuelle Anpassungen, kein Systemumbau</w:t>
            </w:r>
          </w:p>
        </w:tc>
      </w:tr>
      <w:tr>
        <w:tc>
          <w:tcPr/>
          <w:p>
            <w:pPr>
              <w:pStyle w:val="Compact"/>
              <w:jc w:val="left"/>
            </w:pPr>
            <w:r>
              <w:t xml:space="preserve">Wettbewerbsposition</w:t>
            </w:r>
          </w:p>
        </w:tc>
        <w:tc>
          <w:tcPr/>
          <w:p>
            <w:pPr>
              <w:pStyle w:val="Compact"/>
              <w:jc w:val="left"/>
            </w:pPr>
            <w:r>
              <w:t xml:space="preserve">Stabil — «besser als der Markt, nicht der Beste»</w:t>
            </w:r>
          </w:p>
        </w:tc>
      </w:tr>
      <w:tr>
        <w:tc>
          <w:tcPr/>
          <w:p>
            <w:pPr>
              <w:pStyle w:val="Compact"/>
              <w:jc w:val="left"/>
            </w:pPr>
            <w:r>
              <w:t xml:space="preserve">Passt zu UBS?</w:t>
            </w:r>
          </w:p>
        </w:tc>
        <w:tc>
          <w:tcPr/>
          <w:p>
            <w:pPr>
              <w:pStyle w:val="Compact"/>
              <w:jc w:val="left"/>
            </w:pPr>
            <w:r>
              <w:t xml:space="preserve">Historisch konsistent — die Comfort Zone</w:t>
            </w:r>
          </w:p>
        </w:tc>
      </w:tr>
    </w:tbl>
    <w:p>
      <w:pPr>
        <w:pStyle w:val="BodyText"/>
      </w:pPr>
      <w:r>
        <w:rPr>
          <w:bCs/>
          <w:b/>
        </w:rPr>
        <w:t xml:space="preserve">Option C: «Department Leader» — Marketing als ++ Abteilung</w:t>
      </w:r>
    </w:p>
    <w:p>
      <w:pPr>
        <w:pStyle w:val="BodyText"/>
      </w:pPr>
      <w:r>
        <w:t xml:space="preserve">Hier wird es interessant. Statt die gesamte UBS zum Technology-Leader zu machen — was angesichts der Legacy-Systeme unrealistisch wäre — positioniert sich ein einzelnes Department als Vorreiter. Marketing wird zur «++»-Abteilung: deutlich vor dem internen UBS-Durchschnitt, kompetitiv mit den besten am Markt.</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Aspekt</w:t>
            </w:r>
          </w:p>
        </w:tc>
        <w:tc>
          <w:tcPr/>
          <w:p>
            <w:pPr>
              <w:pStyle w:val="Compact"/>
              <w:jc w:val="left"/>
            </w:pPr>
            <w:r>
              <w:t xml:space="preserve">Bewertung</w:t>
            </w:r>
          </w:p>
        </w:tc>
      </w:tr>
      <w:tr>
        <w:tc>
          <w:tcPr/>
          <w:p>
            <w:pPr>
              <w:pStyle w:val="Compact"/>
              <w:jc w:val="left"/>
            </w:pPr>
            <w:r>
              <w:t xml:space="preserve">Risiko</w:t>
            </w:r>
          </w:p>
        </w:tc>
        <w:tc>
          <w:tcPr/>
          <w:p>
            <w:pPr>
              <w:pStyle w:val="Compact"/>
              <w:jc w:val="left"/>
            </w:pPr>
            <w:r>
              <w:t xml:space="preserve">Mittel-Hoch — erfordert Veränderungsbereitschaft</w:t>
            </w:r>
          </w:p>
        </w:tc>
      </w:tr>
      <w:tr>
        <w:tc>
          <w:tcPr/>
          <w:p>
            <w:pPr>
              <w:pStyle w:val="Compact"/>
              <w:jc w:val="left"/>
            </w:pPr>
            <w:r>
              <w:t xml:space="preserve">Kosten</w:t>
            </w:r>
          </w:p>
        </w:tc>
        <w:tc>
          <w:tcPr/>
          <w:p>
            <w:pPr>
              <w:pStyle w:val="Compact"/>
              <w:jc w:val="left"/>
            </w:pPr>
            <w:r>
              <w:t xml:space="preserve">Mittel — fokussierte Investition in ein Department</w:t>
            </w:r>
          </w:p>
        </w:tc>
      </w:tr>
      <w:tr>
        <w:tc>
          <w:tcPr/>
          <w:p>
            <w:pPr>
              <w:pStyle w:val="Compact"/>
              <w:jc w:val="left"/>
            </w:pPr>
            <w:r>
              <w:t xml:space="preserve">Geschwindigkeit</w:t>
            </w:r>
          </w:p>
        </w:tc>
        <w:tc>
          <w:tcPr/>
          <w:p>
            <w:pPr>
              <w:pStyle w:val="Compact"/>
              <w:jc w:val="left"/>
            </w:pPr>
            <w:r>
              <w:t xml:space="preserve">Hoch — Marketing bewegt sich schneller als die UBS insgesamt</w:t>
            </w:r>
          </w:p>
        </w:tc>
      </w:tr>
      <w:tr>
        <w:tc>
          <w:tcPr/>
          <w:p>
            <w:pPr>
              <w:pStyle w:val="Compact"/>
              <w:jc w:val="left"/>
            </w:pPr>
            <w:r>
              <w:t xml:space="preserve">Legacy-Kompatibilität</w:t>
            </w:r>
          </w:p>
        </w:tc>
        <w:tc>
          <w:tcPr/>
          <w:p>
            <w:pPr>
              <w:pStyle w:val="Compact"/>
              <w:jc w:val="left"/>
            </w:pPr>
            <w:r>
              <w:t xml:space="preserve">Machbar — Marketing hat weniger Legacy als IT oder Operations</w:t>
            </w:r>
          </w:p>
        </w:tc>
      </w:tr>
      <w:tr>
        <w:tc>
          <w:tcPr/>
          <w:p>
            <w:pPr>
              <w:pStyle w:val="Compact"/>
              <w:jc w:val="left"/>
            </w:pPr>
            <w:r>
              <w:t xml:space="preserve">Wettbewerbsposition</w:t>
            </w:r>
          </w:p>
        </w:tc>
        <w:tc>
          <w:tcPr/>
          <w:p>
            <w:pPr>
              <w:pStyle w:val="Compact"/>
              <w:jc w:val="left"/>
            </w:pPr>
            <w:r>
              <w:t xml:space="preserve">Führend im Marketing, auch wenn UBS insgesamt Market-Plus bleibt</w:t>
            </w:r>
          </w:p>
        </w:tc>
      </w:tr>
      <w:tr>
        <w:tc>
          <w:tcPr/>
          <w:p>
            <w:pPr>
              <w:pStyle w:val="Compact"/>
              <w:jc w:val="left"/>
            </w:pPr>
            <w:r>
              <w:t xml:space="preserve">Passt zu UBS?</w:t>
            </w:r>
          </w:p>
        </w:tc>
        <w:tc>
          <w:tcPr/>
          <w:p>
            <w:pPr>
              <w:pStyle w:val="Compact"/>
              <w:jc w:val="left"/>
            </w:pPr>
            <w:r>
              <w:t xml:space="preserve">Ja — wenn ein Department «++» sein soll, ist Marketing der beste Kandidat</w:t>
            </w:r>
          </w:p>
        </w:tc>
      </w:tr>
    </w:tbl>
    <w:bookmarkEnd w:id="25"/>
    <w:bookmarkStart w:id="26" w:name="warum-marketing-der-kandidat-ist"/>
    <w:p>
      <w:pPr>
        <w:pStyle w:val="Heading3"/>
      </w:pPr>
      <w:r>
        <w:t xml:space="preserve">2.2 Warum Marketing der ++ Kandidat ist</w:t>
      </w:r>
    </w:p>
    <w:p>
      <w:pPr>
        <w:pStyle w:val="FirstParagraph"/>
      </w:pPr>
      <w:r>
        <w:t xml:space="preserve">Nicht jedes UBS-Department eignet sich gleichermassen für eine Vorreiterrolle. Marketing hat strukturelle Vorteile:</w:t>
      </w:r>
    </w:p>
    <w:p>
      <w:pPr>
        <w:pStyle w:val="BodyText"/>
      </w:pPr>
      <w:r>
        <w:rPr>
          <w:bCs/>
          <w:b/>
        </w:rPr>
        <w:t xml:space="preserve">1. Geringere Legacy-Abhängigkeit</w:t>
      </w:r>
    </w:p>
    <w:p>
      <w:pPr>
        <w:pStyle w:val="BodyText"/>
      </w:pPr>
      <w:r>
        <w:t xml:space="preserve">Marketing ist weniger an Core-Banking-Systeme gebunden als Operations, IT oder Compliance. Neue Segmentierungslogik, neue Framing-Ansätze, neue Metriken — vieles davon lässt sich implementieren, ohne die Kern-Infrastruktur anzufassen. Marketing kann sich bewegen, während der Rest der Bank in der normalen Geschwindigkeit arbeitet.</w:t>
      </w:r>
    </w:p>
    <w:p>
      <w:pPr>
        <w:pStyle w:val="BodyText"/>
      </w:pPr>
      <w:r>
        <w:rPr>
          <w:bCs/>
          <w:b/>
        </w:rPr>
        <w:t xml:space="preserve">2. Direkter Kund:innen-Kontakt</w:t>
      </w:r>
    </w:p>
    <w:p>
      <w:pPr>
        <w:pStyle w:val="BodyText"/>
      </w:pPr>
      <w:r>
        <w:t xml:space="preserve">Marketing ist die Schnittstelle zum Markt. Verbesserungen im Marketing wirken sich direkt auf Kund:innen-Wahrnehmung, Conversion und Revenue aus. Wenn ein Department den Beweis erbringen soll, dass Behavioral AI funktioniert — dann dort, wo der Effekt sofort sichtbar ist.</w:t>
      </w:r>
    </w:p>
    <w:p>
      <w:pPr>
        <w:pStyle w:val="BodyText"/>
      </w:pPr>
      <w:r>
        <w:rPr>
          <w:bCs/>
          <w:b/>
        </w:rPr>
        <w:t xml:space="preserve">3. Skalierbarkeits-Multiplikator</w:t>
      </w:r>
    </w:p>
    <w:p>
      <w:pPr>
        <w:pStyle w:val="BodyText"/>
      </w:pPr>
      <w:r>
        <w:t xml:space="preserve">Marketing berührt jeden Kund:innen-Touchpoint. Eine Verbesserung in der Segmentierung oder im Framing wirkt nicht auf eine Kampagne — sie wirkt auf alle Kampagnen. Das macht Marketing zum Hebel für die gesamte UBS: Was hier funktioniert, kann als Blaupause auf andere Departments übertragen werden.</w:t>
      </w:r>
    </w:p>
    <w:p>
      <w:pPr>
        <w:pStyle w:val="BodyText"/>
      </w:pPr>
      <w:r>
        <w:rPr>
          <w:bCs/>
          <w:b/>
        </w:rPr>
        <w:t xml:space="preserve">4. Talent und Kultur</w:t>
      </w:r>
    </w:p>
    <w:p>
      <w:pPr>
        <w:pStyle w:val="BodyText"/>
      </w:pPr>
      <w:r>
        <w:t xml:space="preserve">Marketing-Teams sind typischerweise offener für neue Methoden als Operations oder Legal. Die Kombination aus Kreativität und Datenaffinität, die in modernen Marketing-Teams existiert, ist die ideale Basis für Behavioral Marketing.</w:t>
      </w:r>
    </w:p>
    <w:bookmarkEnd w:id="26"/>
    <w:bookmarkStart w:id="27" w:name="was-marketing-konkret-bedeutet"/>
    <w:p>
      <w:pPr>
        <w:pStyle w:val="Heading3"/>
      </w:pPr>
      <w:r>
        <w:t xml:space="preserve">2.3 Was Marketing ++ konkret bedeutet</w:t>
      </w:r>
    </w:p>
    <w:p>
      <w:pPr>
        <w:pStyle w:val="SourceCode"/>
      </w:pPr>
      <w:r>
        <w:rPr>
          <w:rStyle w:val="VerbatimChar"/>
        </w:rPr>
        <w:t xml:space="preserve">                    UBS GESAMT              MARKETING ++</w:t>
      </w:r>
      <w:r>
        <w:br/>
      </w:r>
      <w:r>
        <w:rPr>
          <w:rStyle w:val="VerbatimChar"/>
        </w:rPr>
        <w:t xml:space="preserve">                    ──────────              ────────────</w:t>
      </w:r>
      <w:r>
        <w:br/>
      </w:r>
      <w:r>
        <w:rPr>
          <w:rStyle w:val="VerbatimChar"/>
        </w:rPr>
        <w:t xml:space="preserve">Segmentierung       Demografisch            Behavioral (Entscheidungstypen)</w:t>
      </w:r>
      <w:r>
        <w:br/>
      </w:r>
      <w:r>
        <w:rPr>
          <w:rStyle w:val="VerbatimChar"/>
        </w:rPr>
        <w:t xml:space="preserve">Kampagnen-Design    Feature-Framing         Behavioral Framing (kalibriert)</w:t>
      </w:r>
      <w:r>
        <w:br/>
      </w:r>
      <w:r>
        <w:rPr>
          <w:rStyle w:val="VerbatimChar"/>
        </w:rPr>
        <w:t xml:space="preserve">Testing             Live A/B (teuer, lang)  Silicon Samples (schnell, günstig)</w:t>
      </w:r>
      <w:r>
        <w:br/>
      </w:r>
      <w:r>
        <w:rPr>
          <w:rStyle w:val="VerbatimChar"/>
        </w:rPr>
        <w:t xml:space="preserve">Metriken            CTR, CPC, Impressions   Behavioral Conversion Rate</w:t>
      </w:r>
      <w:r>
        <w:br/>
      </w:r>
      <w:r>
        <w:rPr>
          <w:rStyle w:val="VerbatimChar"/>
        </w:rPr>
        <w:t xml:space="preserve">Prozess             Intuitionsbasiert       Evidenzbasiert (Playbook + KPIs)</w:t>
      </w:r>
      <w:r>
        <w:br/>
      </w:r>
      <w:r>
        <w:rPr>
          <w:rStyle w:val="VerbatimChar"/>
        </w:rPr>
        <w:t xml:space="preserve">GenAI-Nutzung       Content-Generierung     Content + Behavioral Steuerung</w:t>
      </w:r>
      <w:r>
        <w:br/>
      </w:r>
      <w:r>
        <w:rPr>
          <w:rStyle w:val="VerbatimChar"/>
        </w:rPr>
        <w:t xml:space="preserve">Marktforschung      Klassisch (Umfragen)    BEATRIX + gezielte Experimente</w:t>
      </w:r>
      <w:r>
        <w:br/>
      </w:r>
      <w:r>
        <w:rPr>
          <w:rStyle w:val="VerbatimChar"/>
        </w:rPr>
        <w:t xml:space="preserve">Geschwindigkeit     6-12 Wochen/Kampagne    2-4 Wochen (mit Simulation)</w:t>
      </w:r>
    </w:p>
    <w:bookmarkEnd w:id="27"/>
    <w:bookmarkStart w:id="28" w:name="X8d70ff98ac003c4b8638a7c6145dbd1646efd4d"/>
    <w:p>
      <w:pPr>
        <w:pStyle w:val="Heading3"/>
      </w:pPr>
      <w:r>
        <w:t xml:space="preserve">2.4 Der Value Stress: Was entsteht, wenn Marketing ++ wird?</w:t>
      </w:r>
    </w:p>
    <w:p>
      <w:pPr>
        <w:pStyle w:val="FirstParagraph"/>
      </w:pPr>
      <w:r>
        <w:t xml:space="preserve">Eine «++»-Positionierung erzeugt produktiven Stress — intern und extern. Diesen Stress muss man aktiv managen:</w:t>
      </w:r>
    </w:p>
    <w:p>
      <w:pPr>
        <w:pStyle w:val="BodyText"/>
      </w:pPr>
      <w:r>
        <w:rPr>
          <w:bCs/>
          <w:b/>
        </w:rPr>
        <w:t xml:space="preserve">Interner Stress:</w:t>
      </w:r>
    </w:p>
    <w:tbl>
      <w:tblPr>
        <w:tblStyle w:val="Table"/>
        <w:tblW w:type="pct" w:w="5000"/>
        <w:tblLook w:firstRow="1" w:lastRow="0" w:firstColumn="0" w:lastColumn="0" w:noHBand="0" w:noVBand="0" w:val="0020"/>
        <w:jc w:val="start"/>
      </w:tblPr>
      <w:tblGrid>
        <w:gridCol w:w="2288"/>
        <w:gridCol w:w="2288"/>
        <w:gridCol w:w="3344"/>
      </w:tblGrid>
      <w:tr>
        <w:trPr>
          <w:tblHeader w:val="true"/>
        </w:trPr>
        <w:tc>
          <w:tcPr/>
          <w:p>
            <w:pPr>
              <w:pStyle w:val="Compact"/>
              <w:jc w:val="left"/>
            </w:pPr>
            <w:r>
              <w:t xml:space="preserve">Stressfaktor</w:t>
            </w:r>
          </w:p>
        </w:tc>
        <w:tc>
          <w:tcPr/>
          <w:p>
            <w:pPr>
              <w:pStyle w:val="Compact"/>
              <w:jc w:val="left"/>
            </w:pPr>
            <w:r>
              <w:t xml:space="preserve">Beschreibung</w:t>
            </w:r>
          </w:p>
        </w:tc>
        <w:tc>
          <w:tcPr/>
          <w:p>
            <w:pPr>
              <w:pStyle w:val="Compact"/>
              <w:jc w:val="left"/>
            </w:pPr>
            <w:r>
              <w:t xml:space="preserve">Management-Ansatz</w:t>
            </w:r>
          </w:p>
        </w:tc>
      </w:tr>
      <w:tr>
        <w:tc>
          <w:tcPr/>
          <w:p>
            <w:pPr>
              <w:pStyle w:val="Compact"/>
              <w:jc w:val="left"/>
            </w:pPr>
            <w:r>
              <w:rPr>
                <w:bCs/>
                <w:b/>
              </w:rPr>
              <w:t xml:space="preserve">Kompetenz-Gap</w:t>
            </w:r>
          </w:p>
        </w:tc>
        <w:tc>
          <w:tcPr/>
          <w:p>
            <w:pPr>
              <w:pStyle w:val="Compact"/>
              <w:jc w:val="left"/>
            </w:pPr>
            <w:r>
              <w:t xml:space="preserve">Team muss Behavioral Marketing lernen — neues Wissen, neue Tools, neuer Denkrahmen</w:t>
            </w:r>
          </w:p>
        </w:tc>
        <w:tc>
          <w:tcPr/>
          <w:p>
            <w:pPr>
              <w:pStyle w:val="Compact"/>
              <w:jc w:val="left"/>
            </w:pPr>
            <w:r>
              <w:t xml:space="preserve">Systematisches Enablement: Training + Playbooks + Coaching (nicht einmalig, sondern kontinuierlich)</w:t>
            </w:r>
          </w:p>
        </w:tc>
      </w:tr>
      <w:tr>
        <w:tc>
          <w:tcPr/>
          <w:p>
            <w:pPr>
              <w:pStyle w:val="Compact"/>
              <w:jc w:val="left"/>
            </w:pPr>
            <w:r>
              <w:rPr>
                <w:bCs/>
                <w:b/>
              </w:rPr>
              <w:t xml:space="preserve">Prozess-Reibung</w:t>
            </w:r>
          </w:p>
        </w:tc>
        <w:tc>
          <w:tcPr/>
          <w:p>
            <w:pPr>
              <w:pStyle w:val="Compact"/>
              <w:jc w:val="left"/>
            </w:pPr>
            <w:r>
              <w:t xml:space="preserve">Neue Briefing-Templates, neue Approval-Gates, neue KPIs — das erzeugt anfangs Langsamkeit</w:t>
            </w:r>
          </w:p>
        </w:tc>
        <w:tc>
          <w:tcPr/>
          <w:p>
            <w:pPr>
              <w:pStyle w:val="Compact"/>
              <w:jc w:val="left"/>
            </w:pPr>
            <w:r>
              <w:t xml:space="preserve">Parallelbetrieb: Neue Prozesse zuerst für Piloten, dann schrittweise ausrollen</w:t>
            </w:r>
          </w:p>
        </w:tc>
      </w:tr>
      <w:tr>
        <w:tc>
          <w:tcPr/>
          <w:p>
            <w:pPr>
              <w:pStyle w:val="Compact"/>
              <w:jc w:val="left"/>
            </w:pPr>
            <w:r>
              <w:rPr>
                <w:bCs/>
                <w:b/>
              </w:rPr>
              <w:t xml:space="preserve">Silo-Spannung</w:t>
            </w:r>
          </w:p>
        </w:tc>
        <w:tc>
          <w:tcPr/>
          <w:p>
            <w:pPr>
              <w:pStyle w:val="Compact"/>
              <w:jc w:val="left"/>
            </w:pPr>
            <w:r>
              <w:t xml:space="preserve">Marketing ++ läuft schneller als andere Departments — IT, Compliance, Legal sind im Normaltempo</w:t>
            </w:r>
          </w:p>
        </w:tc>
        <w:tc>
          <w:tcPr/>
          <w:p>
            <w:pPr>
              <w:pStyle w:val="Compact"/>
              <w:jc w:val="left"/>
            </w:pPr>
            <w:r>
              <w:t xml:space="preserve">Klare Interfaces: Marketing definiert, was es braucht; andere Departments liefern im eigenen Tempo</w:t>
            </w:r>
          </w:p>
        </w:tc>
      </w:tr>
      <w:tr>
        <w:tc>
          <w:tcPr/>
          <w:p>
            <w:pPr>
              <w:pStyle w:val="Compact"/>
              <w:jc w:val="left"/>
            </w:pPr>
            <w:r>
              <w:rPr>
                <w:bCs/>
                <w:b/>
              </w:rPr>
              <w:t xml:space="preserve">Erwartungs-Management</w:t>
            </w:r>
          </w:p>
        </w:tc>
        <w:tc>
          <w:tcPr/>
          <w:p>
            <w:pPr>
              <w:pStyle w:val="Compact"/>
              <w:jc w:val="left"/>
            </w:pPr>
            <w:r>
              <w:t xml:space="preserve">Wenn Marketing ++ verspricht, muss es liefern — die Ergebnisse müssen sichtbar besser sein</w:t>
            </w:r>
          </w:p>
        </w:tc>
        <w:tc>
          <w:tcPr/>
          <w:p>
            <w:pPr>
              <w:pStyle w:val="Compact"/>
              <w:jc w:val="left"/>
            </w:pPr>
            <w:r>
              <w:t xml:space="preserve">Quick Wins zuerst: 2-3 Kampagnen mit messbarem Delta als Proof of Concept</w:t>
            </w:r>
          </w:p>
        </w:tc>
      </w:tr>
    </w:tbl>
    <w:p>
      <w:pPr>
        <w:pStyle w:val="BodyText"/>
      </w:pPr>
      <w:r>
        <w:rPr>
          <w:bCs/>
          <w:b/>
        </w:rPr>
        <w:t xml:space="preserve">Externer Stress:</w:t>
      </w:r>
    </w:p>
    <w:tbl>
      <w:tblPr>
        <w:tblStyle w:val="Table"/>
        <w:tblW w:type="pct" w:w="5000"/>
        <w:tblLook w:firstRow="1" w:lastRow="0" w:firstColumn="0" w:lastColumn="0" w:noHBand="0" w:noVBand="0" w:val="0020"/>
        <w:jc w:val="start"/>
      </w:tblPr>
      <w:tblGrid>
        <w:gridCol w:w="2288"/>
        <w:gridCol w:w="2288"/>
        <w:gridCol w:w="3344"/>
      </w:tblGrid>
      <w:tr>
        <w:trPr>
          <w:tblHeader w:val="true"/>
        </w:trPr>
        <w:tc>
          <w:tcPr/>
          <w:p>
            <w:pPr>
              <w:pStyle w:val="Compact"/>
              <w:jc w:val="left"/>
            </w:pPr>
            <w:r>
              <w:t xml:space="preserve">Stressfaktor</w:t>
            </w:r>
          </w:p>
        </w:tc>
        <w:tc>
          <w:tcPr/>
          <w:p>
            <w:pPr>
              <w:pStyle w:val="Compact"/>
              <w:jc w:val="left"/>
            </w:pPr>
            <w:r>
              <w:t xml:space="preserve">Beschreibung</w:t>
            </w:r>
          </w:p>
        </w:tc>
        <w:tc>
          <w:tcPr/>
          <w:p>
            <w:pPr>
              <w:pStyle w:val="Compact"/>
              <w:jc w:val="left"/>
            </w:pPr>
            <w:r>
              <w:t xml:space="preserve">Management-Ansatz</w:t>
            </w:r>
          </w:p>
        </w:tc>
      </w:tr>
      <w:tr>
        <w:tc>
          <w:tcPr/>
          <w:p>
            <w:pPr>
              <w:pStyle w:val="Compact"/>
              <w:jc w:val="left"/>
            </w:pPr>
            <w:r>
              <w:rPr>
                <w:bCs/>
                <w:b/>
              </w:rPr>
              <w:t xml:space="preserve">Regulatory</w:t>
            </w:r>
          </w:p>
        </w:tc>
        <w:tc>
          <w:tcPr/>
          <w:p>
            <w:pPr>
              <w:pStyle w:val="Compact"/>
              <w:jc w:val="left"/>
            </w:pPr>
            <w:r>
              <w:t xml:space="preserve">Behavioral Marketing im Banking berührt FINMA-Regeln, DSG, und potenziell den EU AI Act. Nudging darf nicht manipulativ sein.</w:t>
            </w:r>
          </w:p>
        </w:tc>
        <w:tc>
          <w:tcPr/>
          <w:p>
            <w:pPr>
              <w:pStyle w:val="Compact"/>
              <w:jc w:val="left"/>
            </w:pPr>
            <w:r>
              <w:t xml:space="preserve">Proaktive Compliance: Ethik-Framework von Anfang an. Behavioral Design muss transparent und im Kund:innen-Interesse sein.</w:t>
            </w:r>
          </w:p>
        </w:tc>
      </w:tr>
      <w:tr>
        <w:tc>
          <w:tcPr/>
          <w:p>
            <w:pPr>
              <w:pStyle w:val="Compact"/>
              <w:jc w:val="left"/>
            </w:pPr>
            <w:r>
              <w:rPr>
                <w:bCs/>
                <w:b/>
              </w:rPr>
              <w:t xml:space="preserve">Compliance</w:t>
            </w:r>
          </w:p>
        </w:tc>
        <w:tc>
          <w:tcPr/>
          <w:p>
            <w:pPr>
              <w:pStyle w:val="Compact"/>
              <w:jc w:val="left"/>
            </w:pPr>
            <w:r>
              <w:t xml:space="preserve">Jede neue Framing-Variante, jeder neue Default muss compliant sein. Compliance ist heute schon ein Bottleneck.</w:t>
            </w:r>
          </w:p>
        </w:tc>
        <w:tc>
          <w:tcPr/>
          <w:p>
            <w:pPr>
              <w:pStyle w:val="Compact"/>
              <w:jc w:val="left"/>
            </w:pPr>
            <w:r>
              <w:t xml:space="preserve">Compliance-by-Design: Behavioral Playbook MIT Compliance entwickeln, nicht GEGEN Compliance. Compliance wird zum Enabler, nicht zum Blocker.</w:t>
            </w:r>
          </w:p>
        </w:tc>
      </w:tr>
      <w:tr>
        <w:tc>
          <w:tcPr/>
          <w:p>
            <w:pPr>
              <w:pStyle w:val="Compact"/>
              <w:jc w:val="left"/>
            </w:pPr>
            <w:r>
              <w:rPr>
                <w:bCs/>
                <w:b/>
              </w:rPr>
              <w:t xml:space="preserve">Datenschutz</w:t>
            </w:r>
          </w:p>
        </w:tc>
        <w:tc>
          <w:tcPr/>
          <w:p>
            <w:pPr>
              <w:pStyle w:val="Compact"/>
              <w:jc w:val="left"/>
            </w:pPr>
            <w:r>
              <w:t xml:space="preserve">Behavioral Segmentation braucht Verhaltensdaten. Wie weit darf man gehen?</w:t>
            </w:r>
          </w:p>
        </w:tc>
        <w:tc>
          <w:tcPr/>
          <w:p>
            <w:pPr>
              <w:pStyle w:val="Compact"/>
              <w:jc w:val="left"/>
            </w:pPr>
            <w:r>
              <w:t xml:space="preserve">Privacy-First: Behavioral Segmentation auf Basis von Entscheidungstypen (nicht individuellen Profilen). Aggregate, nicht Individuen.</w:t>
            </w:r>
          </w:p>
        </w:tc>
      </w:tr>
      <w:tr>
        <w:tc>
          <w:tcPr/>
          <w:p>
            <w:pPr>
              <w:pStyle w:val="Compact"/>
              <w:jc w:val="left"/>
            </w:pPr>
            <w:r>
              <w:rPr>
                <w:bCs/>
                <w:b/>
              </w:rPr>
              <w:t xml:space="preserve">Reputations-Risiko</w:t>
            </w:r>
          </w:p>
        </w:tc>
        <w:tc>
          <w:tcPr/>
          <w:p>
            <w:pPr>
              <w:pStyle w:val="Compact"/>
              <w:jc w:val="left"/>
            </w:pPr>
            <w:r>
              <w:t xml:space="preserve">«UBS manipuliert Kund:innen mit Psychologie» — das darf nie die Schlagzeile sein.</w:t>
            </w:r>
          </w:p>
        </w:tc>
        <w:tc>
          <w:tcPr/>
          <w:p>
            <w:pPr>
              <w:pStyle w:val="Compact"/>
              <w:jc w:val="left"/>
            </w:pPr>
            <w:r>
              <w:t xml:space="preserve">Framing als Hilfe, nicht als Manipulation: «Wir helfen Kund:innen, bessere Entscheidungen für sich selbst zu treffen.» Das ist die wissenschaftliche Position (libertärer Paternalismus nach Thaler/Sunstein).</w:t>
            </w:r>
          </w:p>
        </w:tc>
      </w:tr>
    </w:tbl>
    <w:p>
      <w:r>
        <w:pict>
          <v:rect style="width:0;height:1.5pt" o:hralign="center" o:hrstd="t" o:hr="t"/>
        </w:pict>
      </w:r>
    </w:p>
    <w:bookmarkEnd w:id="28"/>
    <w:bookmarkEnd w:id="29"/>
    <w:bookmarkStart w:id="32" w:name="teil-3-handlungsfelder-für-marketing"/>
    <w:p>
      <w:pPr>
        <w:pStyle w:val="Heading2"/>
      </w:pPr>
      <w:r>
        <w:t xml:space="preserve">Teil 3: Handlungsfelder für Marketing</w:t>
      </w:r>
    </w:p>
    <w:bookmarkStart w:id="30" w:name="X05500f959452eba90a2d24445f51d7a65bd6e07"/>
    <w:p>
      <w:pPr>
        <w:pStyle w:val="Heading3"/>
      </w:pPr>
      <w:r>
        <w:t xml:space="preserve">3.1 Der logische Pfad: Vom Markt zu Aydins Agenda</w:t>
      </w:r>
    </w:p>
    <w:p>
      <w:pPr>
        <w:pStyle w:val="SourceCode"/>
      </w:pPr>
      <w:r>
        <w:rPr>
          <w:rStyle w:val="VerbatimChar"/>
        </w:rPr>
        <w:t xml:space="preserve">DER MARKT                           STRATEGISCHE ENTSCHEIDUNG</w:t>
      </w:r>
      <w:r>
        <w:br/>
      </w:r>
      <w:r>
        <w:rPr>
          <w:rStyle w:val="VerbatimChar"/>
        </w:rPr>
        <w:t xml:space="preserve">4 Kräfte verändern                  UBS wählt: Follower,</w:t>
      </w:r>
      <w:r>
        <w:br/>
      </w:r>
      <w:r>
        <w:rPr>
          <w:rStyle w:val="VerbatimChar"/>
        </w:rPr>
        <w:t xml:space="preserve">Bankmarketing fundamental    ───→   Market-Plus, oder ++?</w:t>
      </w:r>
      <w:r>
        <w:br/>
      </w:r>
      <w:r>
        <w:rPr>
          <w:rStyle w:val="VerbatimChar"/>
        </w:rPr>
        <w:t xml:space="preserve">                                              │</w:t>
      </w:r>
      <w:r>
        <w:br/>
      </w:r>
      <w:r>
        <w:rPr>
          <w:rStyle w:val="VerbatimChar"/>
        </w:rPr>
        <w:t xml:space="preserve">                                              ▼</w:t>
      </w:r>
      <w:r>
        <w:br/>
      </w:r>
      <w:r>
        <w:rPr>
          <w:rStyle w:val="VerbatimChar"/>
        </w:rPr>
        <w:t xml:space="preserve">MARKETING ALS ++ KANDIDAT           HANDLUNGSFELDER</w:t>
      </w:r>
      <w:r>
        <w:br/>
      </w:r>
      <w:r>
        <w:rPr>
          <w:rStyle w:val="VerbatimChar"/>
        </w:rPr>
        <w:t xml:space="preserve">Geringste Legacy, grösster          Was muss Aydins Team</w:t>
      </w:r>
      <w:r>
        <w:br/>
      </w:r>
      <w:r>
        <w:rPr>
          <w:rStyle w:val="VerbatimChar"/>
        </w:rPr>
        <w:t xml:space="preserve">Hebel, direkter Kund:innen-  ───→   konkret tun?</w:t>
      </w:r>
      <w:r>
        <w:br/>
      </w:r>
      <w:r>
        <w:rPr>
          <w:rStyle w:val="VerbatimChar"/>
        </w:rPr>
        <w:t xml:space="preserve">Kontakt, Skalierbarkeit                      │</w:t>
      </w:r>
      <w:r>
        <w:br/>
      </w:r>
      <w:r>
        <w:rPr>
          <w:rStyle w:val="VerbatimChar"/>
        </w:rPr>
        <w:t xml:space="preserve">                                              ▼</w:t>
      </w:r>
      <w:r>
        <w:br/>
      </w:r>
      <w:r>
        <w:rPr>
          <w:rStyle w:val="VerbatimChar"/>
        </w:rPr>
        <w:t xml:space="preserve">                                    KOOPERATIONSOFFERTE</w:t>
      </w:r>
      <w:r>
        <w:br/>
      </w:r>
      <w:r>
        <w:rPr>
          <w:rStyle w:val="VerbatimChar"/>
        </w:rPr>
        <w:t xml:space="preserve">                                    FAP als strategisches</w:t>
      </w:r>
      <w:r>
        <w:br/>
      </w:r>
      <w:r>
        <w:rPr>
          <w:rStyle w:val="VerbatimChar"/>
        </w:rPr>
        <w:t xml:space="preserve">                                    Backbone für Marketing ++</w:t>
      </w:r>
    </w:p>
    <w:bookmarkEnd w:id="30"/>
    <w:bookmarkStart w:id="31" w:name="sieben-handlungsfelder"/>
    <w:p>
      <w:pPr>
        <w:pStyle w:val="Heading3"/>
      </w:pPr>
      <w:r>
        <w:t xml:space="preserve">3.2 Sieben Handlungsfelder</w:t>
      </w:r>
    </w:p>
    <w:p>
      <w:pPr>
        <w:pStyle w:val="FirstParagraph"/>
      </w:pPr>
      <w:r>
        <w:t xml:space="preserve">Unabhängig davon, ob UBS sich für Market-Plus oder ++ entscheidet, gibt es sieben Handlungsfelder. Der Unterschied liegt in der Tiefe und Geschwindigkeit der Umsetzung.</w:t>
      </w:r>
    </w:p>
    <w:p>
      <w:pPr>
        <w:pStyle w:val="BodyText"/>
      </w:pPr>
      <w:r>
        <w:rPr>
          <w:bCs/>
          <w:b/>
        </w:rPr>
        <w:t xml:space="preserve">Handlungsfeld 1: Behavioral Segmentation aufbauen</w:t>
      </w:r>
    </w:p>
    <w:p>
      <w:pPr>
        <w:pStyle w:val="BodyText"/>
      </w:pPr>
      <w:r>
        <w:t xml:space="preserve">Heute segmentiert UBS Marketing primär demografisch. Aber innerhalb von «affluent 55-65, Deutschschweiz» stecken drei völlig verschiedene Entscheidungstypen: Sicherheitsorientierte (reagieren auf Loss-Frames), Wachstumsorientierte (reagieren auf Gain-Frames) und Delegierer (reagieren auf Experten-Empfehlungen). Dieselbe Kampagne an alle drei ist bei zwei von drei falsch.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Market-Plus</w:t>
            </w:r>
          </w:p>
        </w:tc>
        <w:tc>
          <w:tcPr/>
          <w:p>
            <w:pPr>
              <w:pStyle w:val="Compact"/>
              <w:jc w:val="left"/>
            </w:pPr>
            <w:r>
              <w:t xml:space="preserve">Marketing ++</w:t>
            </w:r>
          </w:p>
        </w:tc>
      </w:tr>
      <w:tr>
        <w:tc>
          <w:tcPr/>
          <w:p>
            <w:pPr>
              <w:pStyle w:val="Compact"/>
              <w:jc w:val="left"/>
            </w:pPr>
            <w:r>
              <w:t xml:space="preserve">Scope</w:t>
            </w:r>
          </w:p>
        </w:tc>
        <w:tc>
          <w:tcPr/>
          <w:p>
            <w:pPr>
              <w:pStyle w:val="Compact"/>
              <w:jc w:val="left"/>
            </w:pPr>
            <w:r>
              <w:t xml:space="preserve">1-2 Kern-Segmente behavioral aufschlüsseln</w:t>
            </w:r>
          </w:p>
        </w:tc>
        <w:tc>
          <w:tcPr/>
          <w:p>
            <w:pPr>
              <w:pStyle w:val="Compact"/>
              <w:jc w:val="left"/>
            </w:pPr>
            <w:r>
              <w:t xml:space="preserve">Alle relevanten Segmente behavioral modellieren</w:t>
            </w:r>
          </w:p>
        </w:tc>
      </w:tr>
      <w:tr>
        <w:tc>
          <w:tcPr/>
          <w:p>
            <w:pPr>
              <w:pStyle w:val="Compact"/>
              <w:jc w:val="left"/>
            </w:pPr>
            <w:r>
              <w:t xml:space="preserve">Tempo</w:t>
            </w:r>
          </w:p>
        </w:tc>
        <w:tc>
          <w:tcPr/>
          <w:p>
            <w:pPr>
              <w:pStyle w:val="Compact"/>
              <w:jc w:val="left"/>
            </w:pPr>
            <w:r>
              <w:t xml:space="preserve">6-12 Monate</w:t>
            </w:r>
          </w:p>
        </w:tc>
        <w:tc>
          <w:tcPr/>
          <w:p>
            <w:pPr>
              <w:pStyle w:val="Compact"/>
              <w:jc w:val="left"/>
            </w:pPr>
            <w:r>
              <w:t xml:space="preserve">3-6 Monate</w:t>
            </w:r>
          </w:p>
        </w:tc>
      </w:tr>
      <w:tr>
        <w:tc>
          <w:tcPr/>
          <w:p>
            <w:pPr>
              <w:pStyle w:val="Compact"/>
              <w:jc w:val="left"/>
            </w:pPr>
            <w:r>
              <w:t xml:space="preserve">Datenquelle</w:t>
            </w:r>
          </w:p>
        </w:tc>
        <w:tc>
          <w:tcPr/>
          <w:p>
            <w:pPr>
              <w:pStyle w:val="Compact"/>
              <w:jc w:val="left"/>
            </w:pPr>
            <w:r>
              <w:t xml:space="preserve">Bestehende CRM-Daten + Hypothesen</w:t>
            </w:r>
          </w:p>
        </w:tc>
        <w:tc>
          <w:tcPr/>
          <w:p>
            <w:pPr>
              <w:pStyle w:val="Compact"/>
              <w:jc w:val="left"/>
            </w:pPr>
            <w:r>
              <w:t xml:space="preserve">CRM + BEATRIX-Kalibrierung + Behavioral Surveys</w:t>
            </w:r>
          </w:p>
        </w:tc>
      </w:tr>
      <w:tr>
        <w:tc>
          <w:tcPr/>
          <w:p>
            <w:pPr>
              <w:pStyle w:val="Compact"/>
              <w:jc w:val="left"/>
            </w:pPr>
            <w:r>
              <w:t xml:space="preserve">Ergebnis</w:t>
            </w:r>
          </w:p>
        </w:tc>
        <w:tc>
          <w:tcPr/>
          <w:p>
            <w:pPr>
              <w:pStyle w:val="Compact"/>
              <w:jc w:val="left"/>
            </w:pPr>
            <w:r>
              <w:t xml:space="preserve">Pilotfähig</w:t>
            </w:r>
          </w:p>
        </w:tc>
        <w:tc>
          <w:tcPr/>
          <w:p>
            <w:pPr>
              <w:pStyle w:val="Compact"/>
              <w:jc w:val="left"/>
            </w:pPr>
            <w:r>
              <w:t xml:space="preserve">Produktionsfähig</w:t>
            </w:r>
          </w:p>
        </w:tc>
      </w:tr>
    </w:tbl>
    <w:p>
      <w:pPr>
        <w:pStyle w:val="BodyText"/>
      </w:pPr>
      <w:r>
        <w:rPr>
          <w:bCs/>
          <w:b/>
        </w:rPr>
        <w:t xml:space="preserve">Handlungsfeld 2: Framing-Kompetenz systematisieren</w:t>
      </w:r>
    </w:p>
    <w:p>
      <w:pPr>
        <w:pStyle w:val="BodyText"/>
      </w:pPr>
      <w:r>
        <w:t xml:space="preserve">Der grösste einzelne Hebel. Kampagnen werden heute aus Produktsicht formuliert («4.2% Rendite, ab CHF 500»). Die verhaltensökonomische Alternative framt dieselbe Information aus Kund:innen-Perspektive («Schützen Sie Ihr Erspartes vor Inflation — ab CHF 500»). Die Differenz in der Wirkung ist empirisch belegt und substanziell.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Market-Plus</w:t>
            </w:r>
          </w:p>
        </w:tc>
        <w:tc>
          <w:tcPr/>
          <w:p>
            <w:pPr>
              <w:pStyle w:val="Compact"/>
              <w:jc w:val="left"/>
            </w:pPr>
            <w:r>
              <w:t xml:space="preserve">Marketing ++</w:t>
            </w:r>
          </w:p>
        </w:tc>
      </w:tr>
      <w:tr>
        <w:tc>
          <w:tcPr/>
          <w:p>
            <w:pPr>
              <w:pStyle w:val="Compact"/>
              <w:jc w:val="left"/>
            </w:pPr>
            <w:r>
              <w:t xml:space="preserve">Scope</w:t>
            </w:r>
          </w:p>
        </w:tc>
        <w:tc>
          <w:tcPr/>
          <w:p>
            <w:pPr>
              <w:pStyle w:val="Compact"/>
              <w:jc w:val="left"/>
            </w:pPr>
            <w:r>
              <w:t xml:space="preserve">Framing-Audit für 3-5 Kampagnen</w:t>
            </w:r>
          </w:p>
        </w:tc>
        <w:tc>
          <w:tcPr/>
          <w:p>
            <w:pPr>
              <w:pStyle w:val="Compact"/>
              <w:jc w:val="left"/>
            </w:pPr>
            <w:r>
              <w:t xml:space="preserve">Framing-Playbook für alle Produktkategorien × Entscheidungstypen</w:t>
            </w:r>
          </w:p>
        </w:tc>
      </w:tr>
      <w:tr>
        <w:tc>
          <w:tcPr/>
          <w:p>
            <w:pPr>
              <w:pStyle w:val="Compact"/>
              <w:jc w:val="left"/>
            </w:pPr>
            <w:r>
              <w:t xml:space="preserve">Tempo</w:t>
            </w:r>
          </w:p>
        </w:tc>
        <w:tc>
          <w:tcPr/>
          <w:p>
            <w:pPr>
              <w:pStyle w:val="Compact"/>
              <w:jc w:val="left"/>
            </w:pPr>
            <w:r>
              <w:t xml:space="preserve">Punktuell, pro Kampagne</w:t>
            </w:r>
          </w:p>
        </w:tc>
        <w:tc>
          <w:tcPr/>
          <w:p>
            <w:pPr>
              <w:pStyle w:val="Compact"/>
              <w:jc w:val="left"/>
            </w:pPr>
            <w:r>
              <w:t xml:space="preserve">Systematisch, als Standard-Prozess</w:t>
            </w:r>
          </w:p>
        </w:tc>
      </w:tr>
      <w:tr>
        <w:tc>
          <w:tcPr/>
          <w:p>
            <w:pPr>
              <w:pStyle w:val="Compact"/>
              <w:jc w:val="left"/>
            </w:pPr>
            <w:r>
              <w:t xml:space="preserve">Tool</w:t>
            </w:r>
          </w:p>
        </w:tc>
        <w:tc>
          <w:tcPr/>
          <w:p>
            <w:pPr>
              <w:pStyle w:val="Compact"/>
              <w:jc w:val="left"/>
            </w:pPr>
            <w:r>
              <w:t xml:space="preserve">Manuelle Analyse</w:t>
            </w:r>
          </w:p>
        </w:tc>
        <w:tc>
          <w:tcPr/>
          <w:p>
            <w:pPr>
              <w:pStyle w:val="Compact"/>
              <w:jc w:val="left"/>
            </w:pPr>
            <w:r>
              <w:t xml:space="preserve">BEATRIX Silicon Samples als Standard-Pre-Test</w:t>
            </w:r>
          </w:p>
        </w:tc>
      </w:tr>
      <w:tr>
        <w:tc>
          <w:tcPr/>
          <w:p>
            <w:pPr>
              <w:pStyle w:val="Compact"/>
              <w:jc w:val="left"/>
            </w:pPr>
            <w:r>
              <w:t xml:space="preserve">Ergebnis</w:t>
            </w:r>
          </w:p>
        </w:tc>
        <w:tc>
          <w:tcPr/>
          <w:p>
            <w:pPr>
              <w:pStyle w:val="Compact"/>
              <w:jc w:val="left"/>
            </w:pPr>
            <w:r>
              <w:t xml:space="preserve">Bessere einzelne Kampagnen</w:t>
            </w:r>
          </w:p>
        </w:tc>
        <w:tc>
          <w:tcPr/>
          <w:p>
            <w:pPr>
              <w:pStyle w:val="Compact"/>
              <w:jc w:val="left"/>
            </w:pPr>
            <w:r>
              <w:t xml:space="preserve">Besseres Marketing insgesamt</w:t>
            </w:r>
          </w:p>
        </w:tc>
      </w:tr>
    </w:tbl>
    <w:p>
      <w:pPr>
        <w:pStyle w:val="BodyText"/>
      </w:pPr>
      <w:r>
        <w:rPr>
          <w:bCs/>
          <w:b/>
        </w:rPr>
        <w:t xml:space="preserve">Handlungsfeld 3: Kund:innen-Journeys entfrikten</w:t>
      </w:r>
    </w:p>
    <w:p>
      <w:pPr>
        <w:pStyle w:val="BodyText"/>
      </w:pPr>
      <w:r>
        <w:t xml:space="preserve">Jede digitale Journey (Hauptbank-Wechsel, Produkt-Abschluss, Key Club Onboarding) enthält Behavioral Friktionen: zu viele Felder, fehlende Defaults, Unsicherheits-Verstärker, verzögertes Feedback. Jede dieser Friktionen kostet messbar Conversions.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Market-Plus</w:t>
            </w:r>
          </w:p>
        </w:tc>
        <w:tc>
          <w:tcPr/>
          <w:p>
            <w:pPr>
              <w:pStyle w:val="Compact"/>
              <w:jc w:val="left"/>
            </w:pPr>
            <w:r>
              <w:t xml:space="preserve">Marketing ++</w:t>
            </w:r>
          </w:p>
        </w:tc>
      </w:tr>
      <w:tr>
        <w:tc>
          <w:tcPr/>
          <w:p>
            <w:pPr>
              <w:pStyle w:val="Compact"/>
              <w:jc w:val="left"/>
            </w:pPr>
            <w:r>
              <w:t xml:space="preserve">Scope</w:t>
            </w:r>
          </w:p>
        </w:tc>
        <w:tc>
          <w:tcPr/>
          <w:p>
            <w:pPr>
              <w:pStyle w:val="Compact"/>
              <w:jc w:val="left"/>
            </w:pPr>
            <w:r>
              <w:t xml:space="preserve">1-2 Journeys optimieren (z.B. Key Club)</w:t>
            </w:r>
          </w:p>
        </w:tc>
        <w:tc>
          <w:tcPr/>
          <w:p>
            <w:pPr>
              <w:pStyle w:val="Compact"/>
              <w:jc w:val="left"/>
            </w:pPr>
            <w:r>
              <w:t xml:space="preserve">Alle Kern-Journeys systematisch entfrikten</w:t>
            </w:r>
          </w:p>
        </w:tc>
      </w:tr>
      <w:tr>
        <w:tc>
          <w:tcPr/>
          <w:p>
            <w:pPr>
              <w:pStyle w:val="Compact"/>
              <w:jc w:val="left"/>
            </w:pPr>
            <w:r>
              <w:t xml:space="preserve">Methode</w:t>
            </w:r>
          </w:p>
        </w:tc>
        <w:tc>
          <w:tcPr/>
          <w:p>
            <w:pPr>
              <w:pStyle w:val="Compact"/>
              <w:jc w:val="left"/>
            </w:pPr>
            <w:r>
              <w:t xml:space="preserve">Manueller Friction Audit</w:t>
            </w:r>
          </w:p>
        </w:tc>
        <w:tc>
          <w:tcPr/>
          <w:p>
            <w:pPr>
              <w:pStyle w:val="Compact"/>
              <w:jc w:val="left"/>
            </w:pPr>
            <w:r>
              <w:t xml:space="preserve">BEATRIX Journey-Simulation + Behavioral Redesign</w:t>
            </w:r>
          </w:p>
        </w:tc>
      </w:tr>
      <w:tr>
        <w:tc>
          <w:tcPr/>
          <w:p>
            <w:pPr>
              <w:pStyle w:val="Compact"/>
              <w:jc w:val="left"/>
            </w:pPr>
            <w:r>
              <w:t xml:space="preserve">Quick Win</w:t>
            </w:r>
          </w:p>
        </w:tc>
        <w:tc>
          <w:tcPr/>
          <w:p>
            <w:pPr>
              <w:pStyle w:val="Compact"/>
              <w:jc w:val="left"/>
            </w:pPr>
            <w:r>
              <w:t xml:space="preserve">Default-Optimierung, Feld-Reduktion</w:t>
            </w:r>
          </w:p>
        </w:tc>
        <w:tc>
          <w:tcPr/>
          <w:p>
            <w:pPr>
              <w:pStyle w:val="Compact"/>
              <w:jc w:val="left"/>
            </w:pPr>
            <w:r>
              <w:t xml:space="preserve">+ Progressive Disclosure, Commitment Devices, Timing</w:t>
            </w:r>
          </w:p>
        </w:tc>
      </w:tr>
    </w:tbl>
    <w:p>
      <w:pPr>
        <w:pStyle w:val="BodyText"/>
      </w:pPr>
      <w:r>
        <w:rPr>
          <w:bCs/>
          <w:b/>
        </w:rPr>
        <w:t xml:space="preserve">Handlungsfeld 4: Metriken umstellen</w:t>
      </w:r>
    </w:p>
    <w:p>
      <w:pPr>
        <w:pStyle w:val="BodyText"/>
      </w:pPr>
      <w:r>
        <w:t xml:space="preserve">«What gets measured gets managed.» Solange Marketing primär CTR und CPC misst, optimiert es für Aufmerksamkeit — nicht für Entscheidungen. Eine Kampagne mit hohem CTR und niedriger Conversion ist nach klassischen Metriken «erfolgreich». Nach Behavioral Metriken ist sie ein Framing-Problem.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Market-Plus</w:t>
            </w:r>
          </w:p>
        </w:tc>
        <w:tc>
          <w:tcPr/>
          <w:p>
            <w:pPr>
              <w:pStyle w:val="Compact"/>
              <w:jc w:val="left"/>
            </w:pPr>
            <w:r>
              <w:t xml:space="preserve">Marketing ++</w:t>
            </w:r>
          </w:p>
        </w:tc>
      </w:tr>
      <w:tr>
        <w:tc>
          <w:tcPr/>
          <w:p>
            <w:pPr>
              <w:pStyle w:val="Compact"/>
              <w:jc w:val="left"/>
            </w:pPr>
            <w:r>
              <w:t xml:space="preserve">Scope</w:t>
            </w:r>
          </w:p>
        </w:tc>
        <w:tc>
          <w:tcPr/>
          <w:p>
            <w:pPr>
              <w:pStyle w:val="Compact"/>
              <w:jc w:val="left"/>
            </w:pPr>
            <w:r>
              <w:t xml:space="preserve">Behavioral Conversion Rate als Ergänzung</w:t>
            </w:r>
          </w:p>
        </w:tc>
        <w:tc>
          <w:tcPr/>
          <w:p>
            <w:pPr>
              <w:pStyle w:val="Compact"/>
              <w:jc w:val="left"/>
            </w:pPr>
            <w:r>
              <w:t xml:space="preserve">Behavioral Metrics als Leitmetrik</w:t>
            </w:r>
          </w:p>
        </w:tc>
      </w:tr>
      <w:tr>
        <w:tc>
          <w:tcPr/>
          <w:p>
            <w:pPr>
              <w:pStyle w:val="Compact"/>
              <w:jc w:val="left"/>
            </w:pPr>
            <w:r>
              <w:t xml:space="preserve">Integration</w:t>
            </w:r>
          </w:p>
        </w:tc>
        <w:tc>
          <w:tcPr/>
          <w:p>
            <w:pPr>
              <w:pStyle w:val="Compact"/>
              <w:jc w:val="left"/>
            </w:pPr>
            <w:r>
              <w:t xml:space="preserve">Dashboard-Erweiterung</w:t>
            </w:r>
          </w:p>
        </w:tc>
        <w:tc>
          <w:tcPr/>
          <w:p>
            <w:pPr>
              <w:pStyle w:val="Compact"/>
              <w:jc w:val="left"/>
            </w:pPr>
            <w:r>
              <w:t xml:space="preserve">KPI-Framework + Governance + Führungsrelevanz</w:t>
            </w:r>
          </w:p>
        </w:tc>
      </w:tr>
      <w:tr>
        <w:tc>
          <w:tcPr/>
          <w:p>
            <w:pPr>
              <w:pStyle w:val="Compact"/>
              <w:jc w:val="left"/>
            </w:pPr>
            <w:r>
              <w:t xml:space="preserve">Konsequenz</w:t>
            </w:r>
          </w:p>
        </w:tc>
        <w:tc>
          <w:tcPr/>
          <w:p>
            <w:pPr>
              <w:pStyle w:val="Compact"/>
              <w:jc w:val="left"/>
            </w:pPr>
            <w:r>
              <w:t xml:space="preserve">Zusätzliche Perspektive</w:t>
            </w:r>
          </w:p>
        </w:tc>
        <w:tc>
          <w:tcPr/>
          <w:p>
            <w:pPr>
              <w:pStyle w:val="Compact"/>
              <w:jc w:val="left"/>
            </w:pPr>
            <w:r>
              <w:t xml:space="preserve">Paradigmenwechsel in der Kampagnen-Bewertung</w:t>
            </w:r>
          </w:p>
        </w:tc>
      </w:tr>
    </w:tbl>
    <w:p>
      <w:pPr>
        <w:pStyle w:val="BodyText"/>
      </w:pPr>
      <w:r>
        <w:rPr>
          <w:bCs/>
          <w:b/>
        </w:rPr>
        <w:t xml:space="preserve">Handlungsfeld 5: GenAI behavioral steuern</w:t>
      </w:r>
    </w:p>
    <w:p>
      <w:pPr>
        <w:pStyle w:val="BodyText"/>
      </w:pPr>
      <w:r>
        <w:t xml:space="preserve">GenAI wird kommen — die Frage ist nicht ob, sondern wie. Wer GenAI mit «schreibe eine Email für das Vorsorgeprodukt» füttert, bekommt schneller produziertes Feature-Framing. Wer GenAI mit «schreibe eine Email im Loss-Frame für sicherheitsorientierte Kund:innen 55+, die gerade die Steuerklärung gemacht haben» füttert, bekommt Behavioral Marketing skaliert.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Market-Plus</w:t>
            </w:r>
          </w:p>
        </w:tc>
        <w:tc>
          <w:tcPr/>
          <w:p>
            <w:pPr>
              <w:pStyle w:val="Compact"/>
              <w:jc w:val="left"/>
            </w:pPr>
            <w:r>
              <w:t xml:space="preserve">Marketing ++</w:t>
            </w:r>
          </w:p>
        </w:tc>
      </w:tr>
      <w:tr>
        <w:tc>
          <w:tcPr/>
          <w:p>
            <w:pPr>
              <w:pStyle w:val="Compact"/>
              <w:jc w:val="left"/>
            </w:pPr>
            <w:r>
              <w:t xml:space="preserve">Scope</w:t>
            </w:r>
          </w:p>
        </w:tc>
        <w:tc>
          <w:tcPr/>
          <w:p>
            <w:pPr>
              <w:pStyle w:val="Compact"/>
              <w:jc w:val="left"/>
            </w:pPr>
            <w:r>
              <w:t xml:space="preserve">GenAI für Content-Produktion</w:t>
            </w:r>
          </w:p>
        </w:tc>
        <w:tc>
          <w:tcPr/>
          <w:p>
            <w:pPr>
              <w:pStyle w:val="Compact"/>
              <w:jc w:val="left"/>
            </w:pPr>
            <w:r>
              <w:t xml:space="preserve">GenAI + Behavioral Prompt-Engineering</w:t>
            </w:r>
          </w:p>
        </w:tc>
      </w:tr>
      <w:tr>
        <w:tc>
          <w:tcPr/>
          <w:p>
            <w:pPr>
              <w:pStyle w:val="Compact"/>
              <w:jc w:val="left"/>
            </w:pPr>
            <w:r>
              <w:t xml:space="preserve">Steuerung</w:t>
            </w:r>
          </w:p>
        </w:tc>
        <w:tc>
          <w:tcPr/>
          <w:p>
            <w:pPr>
              <w:pStyle w:val="Compact"/>
              <w:jc w:val="left"/>
            </w:pPr>
            <w:r>
              <w:t xml:space="preserve">Kreativ-Briefing wie bisher</w:t>
            </w:r>
          </w:p>
        </w:tc>
        <w:tc>
          <w:tcPr/>
          <w:p>
            <w:pPr>
              <w:pStyle w:val="Compact"/>
              <w:jc w:val="left"/>
            </w:pPr>
            <w:r>
              <w:t xml:space="preserve">Behavioral Briefing (Entscheidungstyp + Frame + Timing)</w:t>
            </w:r>
          </w:p>
        </w:tc>
      </w:tr>
      <w:tr>
        <w:tc>
          <w:tcPr/>
          <w:p>
            <w:pPr>
              <w:pStyle w:val="Compact"/>
              <w:jc w:val="left"/>
            </w:pPr>
            <w:r>
              <w:t xml:space="preserve">Qualitätssicherung</w:t>
            </w:r>
          </w:p>
        </w:tc>
        <w:tc>
          <w:tcPr/>
          <w:p>
            <w:pPr>
              <w:pStyle w:val="Compact"/>
              <w:jc w:val="left"/>
            </w:pPr>
            <w:r>
              <w:t xml:space="preserve">Manuelles Review</w:t>
            </w:r>
          </w:p>
        </w:tc>
        <w:tc>
          <w:tcPr/>
          <w:p>
            <w:pPr>
              <w:pStyle w:val="Compact"/>
              <w:jc w:val="left"/>
            </w:pPr>
            <w:r>
              <w:t xml:space="preserve">BEATRIX-Simulation als Quality Gate vor Launch</w:t>
            </w:r>
          </w:p>
        </w:tc>
      </w:tr>
    </w:tbl>
    <w:p>
      <w:pPr>
        <w:pStyle w:val="BodyText"/>
      </w:pPr>
      <w:r>
        <w:rPr>
          <w:bCs/>
          <w:b/>
        </w:rPr>
        <w:t xml:space="preserve">Handlungsfeld 6: Team befähigen</w:t>
      </w:r>
    </w:p>
    <w:p>
      <w:pPr>
        <w:pStyle w:val="BodyText"/>
      </w:pPr>
      <w:r>
        <w:t xml:space="preserve">Kein Tool und kein Playbook ersetzt Kompetenz. Das Marketing-Team muss lernen, Behavioral Leaks selbst zu erkennen — nicht als Theorie, sondern an den eigenen Kampagnen. «Zeig mir deine Kampagne, ich zeige dir den Leak.»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Market-Plus</w:t>
            </w:r>
          </w:p>
        </w:tc>
        <w:tc>
          <w:tcPr/>
          <w:p>
            <w:pPr>
              <w:pStyle w:val="Compact"/>
              <w:jc w:val="left"/>
            </w:pPr>
            <w:r>
              <w:t xml:space="preserve">Marketing ++</w:t>
            </w:r>
          </w:p>
        </w:tc>
      </w:tr>
      <w:tr>
        <w:tc>
          <w:tcPr/>
          <w:p>
            <w:pPr>
              <w:pStyle w:val="Compact"/>
              <w:jc w:val="left"/>
            </w:pPr>
            <w:r>
              <w:t xml:space="preserve">Scope</w:t>
            </w:r>
          </w:p>
        </w:tc>
        <w:tc>
          <w:tcPr/>
          <w:p>
            <w:pPr>
              <w:pStyle w:val="Compact"/>
              <w:jc w:val="left"/>
            </w:pPr>
            <w:r>
              <w:t xml:space="preserve">1-Tages-Einführung</w:t>
            </w:r>
          </w:p>
        </w:tc>
        <w:tc>
          <w:tcPr/>
          <w:p>
            <w:pPr>
              <w:pStyle w:val="Compact"/>
              <w:jc w:val="left"/>
            </w:pPr>
            <w:r>
              <w:t xml:space="preserve">Training-Serie (4-6 Halbtage) + laufendes Coaching</w:t>
            </w:r>
          </w:p>
        </w:tc>
      </w:tr>
      <w:tr>
        <w:tc>
          <w:tcPr/>
          <w:p>
            <w:pPr>
              <w:pStyle w:val="Compact"/>
              <w:jc w:val="left"/>
            </w:pPr>
            <w:r>
              <w:t xml:space="preserve">Methode</w:t>
            </w:r>
          </w:p>
        </w:tc>
        <w:tc>
          <w:tcPr/>
          <w:p>
            <w:pPr>
              <w:pStyle w:val="Compact"/>
              <w:jc w:val="left"/>
            </w:pPr>
            <w:r>
              <w:t xml:space="preserve">Workshop mit Theorie</w:t>
            </w:r>
          </w:p>
        </w:tc>
        <w:tc>
          <w:tcPr/>
          <w:p>
            <w:pPr>
              <w:pStyle w:val="Compact"/>
              <w:jc w:val="left"/>
            </w:pPr>
            <w:r>
              <w:t xml:space="preserve">Hands-on an eigenen Kampagnen + Quartals-Reviews</w:t>
            </w:r>
          </w:p>
        </w:tc>
      </w:tr>
      <w:tr>
        <w:tc>
          <w:tcPr/>
          <w:p>
            <w:pPr>
              <w:pStyle w:val="Compact"/>
              <w:jc w:val="left"/>
            </w:pPr>
            <w:r>
              <w:t xml:space="preserve">Ziel</w:t>
            </w:r>
          </w:p>
        </w:tc>
        <w:tc>
          <w:tcPr/>
          <w:p>
            <w:pPr>
              <w:pStyle w:val="Compact"/>
              <w:jc w:val="left"/>
            </w:pPr>
            <w:r>
              <w:t xml:space="preserve">Awareness</w:t>
            </w:r>
          </w:p>
        </w:tc>
        <w:tc>
          <w:tcPr/>
          <w:p>
            <w:pPr>
              <w:pStyle w:val="Compact"/>
              <w:jc w:val="left"/>
            </w:pPr>
            <w:r>
              <w:t xml:space="preserve">Eigenständigkeit: Team erkennt und schliesst Leaks selbst</w:t>
            </w:r>
          </w:p>
        </w:tc>
      </w:tr>
    </w:tbl>
    <w:p>
      <w:pPr>
        <w:pStyle w:val="BodyText"/>
      </w:pPr>
      <w:r>
        <w:rPr>
          <w:bCs/>
          <w:b/>
        </w:rPr>
        <w:t xml:space="preserve">Handlungsfeld 7: Compliance als Enabler positionieren</w:t>
      </w:r>
    </w:p>
    <w:p>
      <w:pPr>
        <w:pStyle w:val="BodyText"/>
      </w:pPr>
      <w:r>
        <w:t xml:space="preserve">Behavioral Marketing im Banking braucht Compliance von Anfang an — nicht als nachgelagertes Gate, sondern als integriertes Design-Prinzip. Ein Framing-Playbook, das MIT Compliance entwickelt wird, beschleunigt den Approval-Prozess statt ihn zu bremsen.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Market-Plus</w:t>
            </w:r>
          </w:p>
        </w:tc>
        <w:tc>
          <w:tcPr/>
          <w:p>
            <w:pPr>
              <w:pStyle w:val="Compact"/>
              <w:jc w:val="left"/>
            </w:pPr>
            <w:r>
              <w:t xml:space="preserve">Marketing ++</w:t>
            </w:r>
          </w:p>
        </w:tc>
      </w:tr>
      <w:tr>
        <w:tc>
          <w:tcPr/>
          <w:p>
            <w:pPr>
              <w:pStyle w:val="Compact"/>
              <w:jc w:val="left"/>
            </w:pPr>
            <w:r>
              <w:t xml:space="preserve">Scope</w:t>
            </w:r>
          </w:p>
        </w:tc>
        <w:tc>
          <w:tcPr/>
          <w:p>
            <w:pPr>
              <w:pStyle w:val="Compact"/>
              <w:jc w:val="left"/>
            </w:pPr>
            <w:r>
              <w:t xml:space="preserve">Compliance-Check pro Kampagne (reaktiv)</w:t>
            </w:r>
          </w:p>
        </w:tc>
        <w:tc>
          <w:tcPr/>
          <w:p>
            <w:pPr>
              <w:pStyle w:val="Compact"/>
              <w:jc w:val="left"/>
            </w:pPr>
            <w:r>
              <w:t xml:space="preserve">Behavioral Compliance Framework (proaktiv)</w:t>
            </w:r>
          </w:p>
        </w:tc>
      </w:tr>
      <w:tr>
        <w:tc>
          <w:tcPr/>
          <w:p>
            <w:pPr>
              <w:pStyle w:val="Compact"/>
              <w:jc w:val="left"/>
            </w:pPr>
            <w:r>
              <w:t xml:space="preserve">Methode</w:t>
            </w:r>
          </w:p>
        </w:tc>
        <w:tc>
          <w:tcPr/>
          <w:p>
            <w:pPr>
              <w:pStyle w:val="Compact"/>
              <w:jc w:val="left"/>
            </w:pPr>
            <w:r>
              <w:t xml:space="preserve">Nachgelagert (Kampagne fertig → Compliance prüft)</w:t>
            </w:r>
          </w:p>
        </w:tc>
        <w:tc>
          <w:tcPr/>
          <w:p>
            <w:pPr>
              <w:pStyle w:val="Compact"/>
              <w:jc w:val="left"/>
            </w:pPr>
            <w:r>
              <w:t xml:space="preserve">Integriert (Compliance-Regeln im Playbook verankert)</w:t>
            </w:r>
          </w:p>
        </w:tc>
      </w:tr>
      <w:tr>
        <w:tc>
          <w:tcPr/>
          <w:p>
            <w:pPr>
              <w:pStyle w:val="Compact"/>
              <w:jc w:val="left"/>
            </w:pPr>
            <w:r>
              <w:t xml:space="preserve">Effekt</w:t>
            </w:r>
          </w:p>
        </w:tc>
        <w:tc>
          <w:tcPr/>
          <w:p>
            <w:pPr>
              <w:pStyle w:val="Compact"/>
              <w:jc w:val="left"/>
            </w:pPr>
            <w:r>
              <w:t xml:space="preserve">Compliance bleibt Bottleneck</w:t>
            </w:r>
          </w:p>
        </w:tc>
        <w:tc>
          <w:tcPr/>
          <w:p>
            <w:pPr>
              <w:pStyle w:val="Compact"/>
              <w:jc w:val="left"/>
            </w:pPr>
            <w:r>
              <w:t xml:space="preserve">Compliance wird Beschleuniger</w:t>
            </w:r>
          </w:p>
        </w:tc>
      </w:tr>
    </w:tbl>
    <w:p>
      <w:r>
        <w:pict>
          <v:rect style="width:0;height:1.5pt" o:hralign="center" o:hrstd="t" o:hr="t"/>
        </w:pict>
      </w:r>
    </w:p>
    <w:bookmarkEnd w:id="31"/>
    <w:bookmarkEnd w:id="32"/>
    <w:bookmarkStart w:id="38" w:name="Xcd9bf3b9318c3425a203e8191b156e202591161"/>
    <w:p>
      <w:pPr>
        <w:pStyle w:val="Heading2"/>
      </w:pPr>
      <w:r>
        <w:t xml:space="preserve">Teil 4: Kooperationsofferte — FAP als strategisches Backbone</w:t>
      </w:r>
    </w:p>
    <w:bookmarkStart w:id="33" w:name="was-wir-anbieten"/>
    <w:p>
      <w:pPr>
        <w:pStyle w:val="Heading3"/>
      </w:pPr>
      <w:r>
        <w:t xml:space="preserve">4.1 Was wir anbieten</w:t>
      </w:r>
    </w:p>
    <w:p>
      <w:pPr>
        <w:pStyle w:val="FirstParagraph"/>
      </w:pPr>
      <w:r>
        <w:t xml:space="preserve">FehrAdvice liefert das strategische, konzeptionelle und methodische Backbone, damit Marketing bei UBS «++» sein kann. Konkret heisst das drei Dimensionen:</w:t>
      </w:r>
    </w:p>
    <w:p>
      <w:pPr>
        <w:pStyle w:val="SourceCode"/>
      </w:pPr>
      <w:r>
        <w:rPr>
          <w:rStyle w:val="VerbatimChar"/>
        </w:rPr>
        <w:t xml:space="preserve">DIMENSION 1: STRATEGIE</w:t>
      </w:r>
      <w:r>
        <w:br/>
      </w:r>
      <w:r>
        <w:rPr>
          <w:rStyle w:val="VerbatimChar"/>
        </w:rPr>
        <w:t xml:space="preserve">Was muss Marketing tun? Welche Handlungsfelder priorisieren?</w:t>
      </w:r>
      <w:r>
        <w:br/>
      </w:r>
      <w:r>
        <w:rPr>
          <w:rStyle w:val="VerbatimChar"/>
        </w:rPr>
        <w:t xml:space="preserve">Wie mit Szenarien umgehen? Wie Value Stress managen?</w:t>
      </w:r>
      <w:r>
        <w:br/>
      </w:r>
      <w:r>
        <w:rPr>
          <w:rStyle w:val="VerbatimChar"/>
        </w:rPr>
        <w:t xml:space="preserve">→ Jährliche Strategiepartnerschaft mit quartalsweiser Kalibrierung</w:t>
      </w:r>
      <w:r>
        <w:br/>
      </w:r>
      <w:r>
        <w:br/>
      </w:r>
      <w:r>
        <w:rPr>
          <w:rStyle w:val="VerbatimChar"/>
        </w:rPr>
        <w:t xml:space="preserve">DIMENSION 2: MANAGEMENT</w:t>
      </w:r>
      <w:r>
        <w:br/>
      </w:r>
      <w:r>
        <w:rPr>
          <w:rStyle w:val="VerbatimChar"/>
        </w:rPr>
        <w:t xml:space="preserve">Wie setzt man das um? Wie befähigt man das Team?</w:t>
      </w:r>
      <w:r>
        <w:br/>
      </w:r>
      <w:r>
        <w:rPr>
          <w:rStyle w:val="VerbatimChar"/>
        </w:rPr>
        <w:t xml:space="preserve">Wie stellt man Prozesse um? Wie integriert man Compliance?</w:t>
      </w:r>
      <w:r>
        <w:br/>
      </w:r>
      <w:r>
        <w:rPr>
          <w:rStyle w:val="VerbatimChar"/>
        </w:rPr>
        <w:t xml:space="preserve">→ Playbooks, Trainings, Briefing-Templates, KPI-Frameworks</w:t>
      </w:r>
      <w:r>
        <w:br/>
      </w:r>
      <w:r>
        <w:br/>
      </w:r>
      <w:r>
        <w:rPr>
          <w:rStyle w:val="VerbatimChar"/>
        </w:rPr>
        <w:t xml:space="preserve">DIMENSION 3: EVIDENZ</w:t>
      </w:r>
      <w:r>
        <w:br/>
      </w:r>
      <w:r>
        <w:rPr>
          <w:rStyle w:val="VerbatimChar"/>
        </w:rPr>
        <w:t xml:space="preserve">Welche Analysen, Simulationen und Experimente braucht es?</w:t>
      </w:r>
      <w:r>
        <w:br/>
      </w:r>
      <w:r>
        <w:rPr>
          <w:rStyle w:val="VerbatimChar"/>
        </w:rPr>
        <w:t xml:space="preserve">Wo kann BEATRIX traditionelle Marktforschung ersetzen?</w:t>
      </w:r>
      <w:r>
        <w:br/>
      </w:r>
      <w:r>
        <w:rPr>
          <w:rStyle w:val="VerbatimChar"/>
        </w:rPr>
        <w:t xml:space="preserve">Wo braucht es gezielte empirische Kalibrierung?</w:t>
      </w:r>
      <w:r>
        <w:br/>
      </w:r>
      <w:r>
        <w:rPr>
          <w:rStyle w:val="VerbatimChar"/>
        </w:rPr>
        <w:t xml:space="preserve">→ BEATRIX Silicon Samples + gezielte Experimente (wenige, aber kalibrierte)</w:t>
      </w:r>
    </w:p>
    <w:bookmarkEnd w:id="33"/>
    <w:bookmarkStart w:id="34" w:name="X59c5c824daddf658ef5b94cf6b13809ccf7b4c8"/>
    <w:p>
      <w:pPr>
        <w:pStyle w:val="Heading3"/>
      </w:pPr>
      <w:r>
        <w:t xml:space="preserve">4.2 Das BEATRIX-Prinzip: Weniger Experimente, bessere Daten</w:t>
      </w:r>
    </w:p>
    <w:p>
      <w:pPr>
        <w:pStyle w:val="FirstParagraph"/>
      </w:pPr>
      <w:r>
        <w:t xml:space="preserve">Ein zentraler Vorteil der Kooperation: BEATRIX reduziert den Bedarf an klassischer Marktforschung und teuren Live-Experimenten drastisch.</w:t>
      </w:r>
    </w:p>
    <w:p>
      <w:pPr>
        <w:pStyle w:val="BodyText"/>
      </w:pPr>
      <w:r>
        <w:rPr>
          <w:bCs/>
          <w:b/>
        </w:rPr>
        <w:t xml:space="preserve">Heute (ohne BEATRIX):</w:t>
      </w:r>
    </w:p>
    <w:p>
      <w:pPr>
        <w:pStyle w:val="BodyText"/>
      </w:pPr>
      <w:r>
        <w:t xml:space="preserve">Für jede neue Kampagne oder Framing-Variante braucht UBS ein Experiment: A/B-Test, Fokusgruppe, oder Marktforschung. Das dauert Wochen, kostet Zehntausende, und liefert Ergebnisse für genau diese eine Kampagne.</w:t>
      </w:r>
    </w:p>
    <w:p>
      <w:pPr>
        <w:pStyle w:val="BodyText"/>
      </w:pPr>
      <w:r>
        <w:rPr>
          <w:bCs/>
          <w:b/>
        </w:rPr>
        <w:t xml:space="preserve">Mit BEATRIX:</w:t>
      </w:r>
    </w:p>
    <w:p>
      <w:pPr>
        <w:pStyle w:val="BodyText"/>
      </w:pPr>
      <w:r>
        <w:t xml:space="preserve">BEATRIX simuliert 1’000 synthetische Kund:innen in Minuten. 80–90% der Framing- und Segmentierungs-Fragen lassen sich durch Simulation beantworten — ohne Live-Test, ohne Wartezeit, ohne hohe Kosten.</w:t>
      </w:r>
    </w:p>
    <w:p>
      <w:pPr>
        <w:pStyle w:val="BodyText"/>
      </w:pPr>
      <w:r>
        <w:t xml:space="preserve">Die verbleibenden 10–20% — dort wo empirische Daten fehlen oder die Simulation Unsicherheit zeigt — werden zu gezielten, kalibrierten Experimenten. Diese wenigen Experimente haben dann gleich mehrere Vorteile:</w:t>
      </w:r>
    </w:p>
    <w:p>
      <w:pPr>
        <w:numPr>
          <w:ilvl w:val="0"/>
          <w:numId w:val="1001"/>
        </w:numPr>
        <w:pStyle w:val="Compact"/>
      </w:pPr>
      <w:r>
        <w:rPr>
          <w:bCs/>
          <w:b/>
        </w:rPr>
        <w:t xml:space="preserve">Kalibrierung:</w:t>
      </w:r>
      <w:r>
        <w:t xml:space="preserve"> </w:t>
      </w:r>
      <w:r>
        <w:t xml:space="preserve">Sie kalibrieren das BEATRIX-Modell für den UBS-Kontext. Jedes Experiment macht alle zukünftigen Simulationen genauer.</w:t>
      </w:r>
    </w:p>
    <w:p>
      <w:pPr>
        <w:numPr>
          <w:ilvl w:val="0"/>
          <w:numId w:val="1001"/>
        </w:numPr>
        <w:pStyle w:val="Compact"/>
      </w:pPr>
      <w:r>
        <w:rPr>
          <w:bCs/>
          <w:b/>
        </w:rPr>
        <w:t xml:space="preserve">Effizienz:</w:t>
      </w:r>
      <w:r>
        <w:t xml:space="preserve"> </w:t>
      </w:r>
      <w:r>
        <w:t xml:space="preserve">Statt 20 Experimente pro Jahr braucht es vielleicht 4–5 — aber jedes davon liefert Erkenntnisse, die auf Hunderte von Simulationen übertragbar sind.</w:t>
      </w:r>
    </w:p>
    <w:p>
      <w:pPr>
        <w:numPr>
          <w:ilvl w:val="0"/>
          <w:numId w:val="1001"/>
        </w:numPr>
        <w:pStyle w:val="Compact"/>
      </w:pPr>
      <w:r>
        <w:rPr>
          <w:bCs/>
          <w:b/>
        </w:rPr>
        <w:t xml:space="preserve">Wissenschaftliche Tiefe:</w:t>
      </w:r>
      <w:r>
        <w:t xml:space="preserve"> </w:t>
      </w:r>
      <w:r>
        <w:t xml:space="preserve">Die Experimente können sauberer designt werden (grössere Samples, bessere Kontrollgruppen), weil das Budget nicht über viele kleine Tests verstreut ist.</w:t>
      </w:r>
    </w:p>
    <w:p>
      <w:pPr>
        <w:numPr>
          <w:ilvl w:val="0"/>
          <w:numId w:val="1001"/>
        </w:numPr>
        <w:pStyle w:val="Compact"/>
      </w:pPr>
      <w:r>
        <w:rPr>
          <w:bCs/>
          <w:b/>
        </w:rPr>
        <w:t xml:space="preserve">Daten-Asset:</w:t>
      </w:r>
      <w:r>
        <w:t xml:space="preserve"> </w:t>
      </w:r>
      <w:r>
        <w:t xml:space="preserve">Die Ergebnisse fliessen in die UBS-eigene Behavioral-Datenbank. Über die Jahre entsteht ein proprietärer Wettbewerbsvorteil.</w:t>
      </w:r>
    </w:p>
    <w:p>
      <w:pPr>
        <w:pStyle w:val="SourceCode"/>
      </w:pPr>
      <w:r>
        <w:rPr>
          <w:rStyle w:val="VerbatimChar"/>
        </w:rPr>
        <w:t xml:space="preserve">TRADITIONELL                        MIT BEATRIX</w:t>
      </w:r>
      <w:r>
        <w:br/>
      </w:r>
      <w:r>
        <w:rPr>
          <w:rStyle w:val="VerbatimChar"/>
        </w:rPr>
        <w:t xml:space="preserve">────────────                        ───────────</w:t>
      </w:r>
      <w:r>
        <w:br/>
      </w:r>
      <w:r>
        <w:rPr>
          <w:rStyle w:val="VerbatimChar"/>
        </w:rPr>
        <w:t xml:space="preserve">20 Kampagnen/Jahr                   20 Kampagnen/Jahr</w:t>
      </w:r>
      <w:r>
        <w:br/>
      </w:r>
      <w:r>
        <w:rPr>
          <w:rStyle w:val="VerbatimChar"/>
        </w:rPr>
        <w:t xml:space="preserve">× je 1 A/B-Test                     × je 1 BEATRIX-Simulation (Minuten)</w:t>
      </w:r>
      <w:r>
        <w:br/>
      </w:r>
      <w:r>
        <w:rPr>
          <w:rStyle w:val="VerbatimChar"/>
        </w:rPr>
        <w:t xml:space="preserve">= 20 teure Experimente              + 4-5 gezielte Kalibrierungs-Experimente</w:t>
      </w:r>
      <w:r>
        <w:br/>
      </w:r>
      <w:r>
        <w:rPr>
          <w:rStyle w:val="VerbatimChar"/>
        </w:rPr>
        <w:t xml:space="preserve">= Antwort für je 1 Kampagne         = Antwort für alle + Modell wird besser</w:t>
      </w:r>
      <w:r>
        <w:br/>
      </w:r>
      <w:r>
        <w:br/>
      </w:r>
      <w:r>
        <w:rPr>
          <w:rStyle w:val="VerbatimChar"/>
        </w:rPr>
        <w:t xml:space="preserve">Kosten: CHF 200-400k/Jahr           Kosten: Im Abo enthalten + CHF 40-50k</w:t>
      </w:r>
      <w:r>
        <w:br/>
      </w:r>
      <w:r>
        <w:rPr>
          <w:rStyle w:val="VerbatimChar"/>
        </w:rPr>
        <w:t xml:space="preserve">                                     pro Sonderprojekt</w:t>
      </w:r>
      <w:r>
        <w:br/>
      </w:r>
      <w:r>
        <w:rPr>
          <w:rStyle w:val="VerbatimChar"/>
        </w:rPr>
        <w:t xml:space="preserve">Geschwindigkeit: Wochen             Geschwindigkeit: Tage</w:t>
      </w:r>
      <w:r>
        <w:br/>
      </w:r>
      <w:r>
        <w:rPr>
          <w:rStyle w:val="VerbatimChar"/>
        </w:rPr>
        <w:t xml:space="preserve">Kumulativer Lerneffekt: Gering      Kumulativer Lerneffekt: Hoch</w:t>
      </w:r>
    </w:p>
    <w:bookmarkEnd w:id="34"/>
    <w:bookmarkStart w:id="35" w:name="kooperationsmodell-und-investition"/>
    <w:p>
      <w:pPr>
        <w:pStyle w:val="Heading3"/>
      </w:pPr>
      <w:r>
        <w:t xml:space="preserve">4.3 Kooperationsmodell und Investition</w:t>
      </w:r>
    </w:p>
    <w:p>
      <w:pPr>
        <w:pStyle w:val="SourceCode"/>
      </w:pPr>
      <w:r>
        <w:rPr>
          <w:rStyle w:val="VerbatimChar"/>
        </w:rPr>
        <w:t xml:space="preserve">┌─────────────────────────────────────────────────────────────────┐</w:t>
      </w:r>
      <w:r>
        <w:br/>
      </w:r>
      <w:r>
        <w:rPr>
          <w:rStyle w:val="VerbatimChar"/>
        </w:rPr>
        <w:t xml:space="preserve">│  JÄHRLICHE STRATEGIEPARTNERSCHAFT                               │</w:t>
      </w:r>
      <w:r>
        <w:br/>
      </w:r>
      <w:r>
        <w:rPr>
          <w:rStyle w:val="VerbatimChar"/>
        </w:rPr>
        <w:t xml:space="preserve">│                                                                 │</w:t>
      </w:r>
      <w:r>
        <w:br/>
      </w:r>
      <w:r>
        <w:rPr>
          <w:rStyle w:val="VerbatimChar"/>
        </w:rPr>
        <w:t xml:space="preserve">│  Umfang:           ca. CHF 100'000 pro Jahr                     │</w:t>
      </w:r>
      <w:r>
        <w:br/>
      </w:r>
      <w:r>
        <w:rPr>
          <w:rStyle w:val="VerbatimChar"/>
        </w:rPr>
        <w:t xml:space="preserve">│                                                                 │</w:t>
      </w:r>
      <w:r>
        <w:br/>
      </w:r>
      <w:r>
        <w:rPr>
          <w:rStyle w:val="VerbatimChar"/>
        </w:rPr>
        <w:t xml:space="preserve">│  Enthalten:                                                     │</w:t>
      </w:r>
      <w:r>
        <w:br/>
      </w:r>
      <w:r>
        <w:rPr>
          <w:rStyle w:val="VerbatimChar"/>
        </w:rPr>
        <w:t xml:space="preserve">│  ├── Quartalsweise Strategy Sessions (je halber Tag)            │</w:t>
      </w:r>
      <w:r>
        <w:br/>
      </w:r>
      <w:r>
        <w:rPr>
          <w:rStyle w:val="VerbatimChar"/>
        </w:rPr>
        <w:t xml:space="preserve">│  │   → Szenario-Update: Wie entwickelt sich der Markt?          │</w:t>
      </w:r>
      <w:r>
        <w:br/>
      </w:r>
      <w:r>
        <w:rPr>
          <w:rStyle w:val="VerbatimChar"/>
        </w:rPr>
        <w:t xml:space="preserve">│  │   → Handlungsfeld-Review: Wo stehen wir, was priorisieren?  │</w:t>
      </w:r>
      <w:r>
        <w:br/>
      </w:r>
      <w:r>
        <w:rPr>
          <w:rStyle w:val="VerbatimChar"/>
        </w:rPr>
        <w:t xml:space="preserve">│  │   → Value-Stress-Check: Was sind die aktuellen Spannungen?   │</w:t>
      </w:r>
      <w:r>
        <w:br/>
      </w:r>
      <w:r>
        <w:rPr>
          <w:rStyle w:val="VerbatimChar"/>
        </w:rPr>
        <w:t xml:space="preserve">│  │                                                              │</w:t>
      </w:r>
      <w:r>
        <w:br/>
      </w:r>
      <w:r>
        <w:rPr>
          <w:rStyle w:val="VerbatimChar"/>
        </w:rPr>
        <w:t xml:space="preserve">│  ├── Laufende Behavioral Analysen (im Abo)                      │</w:t>
      </w:r>
      <w:r>
        <w:br/>
      </w:r>
      <w:r>
        <w:rPr>
          <w:rStyle w:val="VerbatimChar"/>
        </w:rPr>
        <w:t xml:space="preserve">│  │   → BEATRIX Silicon Samples für alle Kampagnen               │</w:t>
      </w:r>
      <w:r>
        <w:br/>
      </w:r>
      <w:r>
        <w:rPr>
          <w:rStyle w:val="VerbatimChar"/>
        </w:rPr>
        <w:t xml:space="preserve">│  │   → Framing-Analysen für neue Kampagnen-Konzepte             │</w:t>
      </w:r>
      <w:r>
        <w:br/>
      </w:r>
      <w:r>
        <w:rPr>
          <w:rStyle w:val="VerbatimChar"/>
        </w:rPr>
        <w:t xml:space="preserve">│  │   → Behavioral Segmentation Updates                          │</w:t>
      </w:r>
      <w:r>
        <w:br/>
      </w:r>
      <w:r>
        <w:rPr>
          <w:rStyle w:val="VerbatimChar"/>
        </w:rPr>
        <w:t xml:space="preserve">│  │   → Journey Friction Checks bei neuen Touchpoints            │</w:t>
      </w:r>
      <w:r>
        <w:br/>
      </w:r>
      <w:r>
        <w:rPr>
          <w:rStyle w:val="VerbatimChar"/>
        </w:rPr>
        <w:t xml:space="preserve">│  │                                                              │</w:t>
      </w:r>
      <w:r>
        <w:br/>
      </w:r>
      <w:r>
        <w:rPr>
          <w:rStyle w:val="VerbatimChar"/>
        </w:rPr>
        <w:t xml:space="preserve">│  ├── Playbook-Pflege und -Erweiterung                           │</w:t>
      </w:r>
      <w:r>
        <w:br/>
      </w:r>
      <w:r>
        <w:rPr>
          <w:rStyle w:val="VerbatimChar"/>
        </w:rPr>
        <w:t xml:space="preserve">│  │   → Framing-Playbook aktuell halten                          │</w:t>
      </w:r>
      <w:r>
        <w:br/>
      </w:r>
      <w:r>
        <w:rPr>
          <w:rStyle w:val="VerbatimChar"/>
        </w:rPr>
        <w:t xml:space="preserve">│  │   → Neue Produktkategorien/Segmente einbauen                 │</w:t>
      </w:r>
      <w:r>
        <w:br/>
      </w:r>
      <w:r>
        <w:rPr>
          <w:rStyle w:val="VerbatimChar"/>
        </w:rPr>
        <w:t xml:space="preserve">│  │   → Compliance-Updates integrieren                           │</w:t>
      </w:r>
      <w:r>
        <w:br/>
      </w:r>
      <w:r>
        <w:rPr>
          <w:rStyle w:val="VerbatimChar"/>
        </w:rPr>
        <w:t xml:space="preserve">│  │                                                              │</w:t>
      </w:r>
      <w:r>
        <w:br/>
      </w:r>
      <w:r>
        <w:rPr>
          <w:rStyle w:val="VerbatimChar"/>
        </w:rPr>
        <w:t xml:space="preserve">│  └── Jährliche Team-Kalibrierung                                │</w:t>
      </w:r>
      <w:r>
        <w:br/>
      </w:r>
      <w:r>
        <w:rPr>
          <w:rStyle w:val="VerbatimChar"/>
        </w:rPr>
        <w:t xml:space="preserve">│      → 1 Tag Workshop: Neue Erkenntnisse, Refresher, Q&amp;A       │</w:t>
      </w:r>
      <w:r>
        <w:br/>
      </w:r>
      <w:r>
        <w:rPr>
          <w:rStyle w:val="VerbatimChar"/>
        </w:rPr>
        <w:t xml:space="preserve">│      → Neue Forschungsergebnisse aus der Behavioral Science     │</w:t>
      </w:r>
      <w:r>
        <w:br/>
      </w:r>
      <w:r>
        <w:rPr>
          <w:rStyle w:val="VerbatimChar"/>
        </w:rPr>
        <w:t xml:space="preserve">│        in das Playbook übersetzen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SONDERPROJEKTE (nach Bedarf)                                   │</w:t>
      </w:r>
      <w:r>
        <w:br/>
      </w:r>
      <w:r>
        <w:rPr>
          <w:rStyle w:val="VerbatimChar"/>
        </w:rPr>
        <w:t xml:space="preserve">│                                                                 │</w:t>
      </w:r>
      <w:r>
        <w:br/>
      </w:r>
      <w:r>
        <w:rPr>
          <w:rStyle w:val="VerbatimChar"/>
        </w:rPr>
        <w:t xml:space="preserve">│  Umfang:           ca. CHF 40'000 — 50'000 pro Projekt          │</w:t>
      </w:r>
      <w:r>
        <w:br/>
      </w:r>
      <w:r>
        <w:rPr>
          <w:rStyle w:val="VerbatimChar"/>
        </w:rPr>
        <w:t xml:space="preserve">│                                                                 │</w:t>
      </w:r>
      <w:r>
        <w:br/>
      </w:r>
      <w:r>
        <w:rPr>
          <w:rStyle w:val="VerbatimChar"/>
        </w:rPr>
        <w:t xml:space="preserve">│  Typische Sonderprojekte:                                       │</w:t>
      </w:r>
      <w:r>
        <w:br/>
      </w:r>
      <w:r>
        <w:rPr>
          <w:rStyle w:val="VerbatimChar"/>
        </w:rPr>
        <w:t xml:space="preserve">│  ├── Neues Kundensegment behavioral modellieren                 │</w:t>
      </w:r>
      <w:r>
        <w:br/>
      </w:r>
      <w:r>
        <w:rPr>
          <w:rStyle w:val="VerbatimChar"/>
        </w:rPr>
        <w:t xml:space="preserve">│  │   (z.B. Key Club HNWI, Gen Z Erstanleger, Expats)           │</w:t>
      </w:r>
      <w:r>
        <w:br/>
      </w:r>
      <w:r>
        <w:rPr>
          <w:rStyle w:val="VerbatimChar"/>
        </w:rPr>
        <w:t xml:space="preserve">│  │                                                              │</w:t>
      </w:r>
      <w:r>
        <w:br/>
      </w:r>
      <w:r>
        <w:rPr>
          <w:rStyle w:val="VerbatimChar"/>
        </w:rPr>
        <w:t xml:space="preserve">│  ├── Kalibrierungs-Experiment designen und auswerten            │</w:t>
      </w:r>
      <w:r>
        <w:br/>
      </w:r>
      <w:r>
        <w:rPr>
          <w:rStyle w:val="VerbatimChar"/>
        </w:rPr>
        <w:t xml:space="preserve">│  │   (dort wo BEATRIX empirische Daten braucht)                 │</w:t>
      </w:r>
      <w:r>
        <w:br/>
      </w:r>
      <w:r>
        <w:rPr>
          <w:rStyle w:val="VerbatimChar"/>
        </w:rPr>
        <w:t xml:space="preserve">│  │                                                              │</w:t>
      </w:r>
      <w:r>
        <w:br/>
      </w:r>
      <w:r>
        <w:rPr>
          <w:rStyle w:val="VerbatimChar"/>
        </w:rPr>
        <w:t xml:space="preserve">│  ├── Neuer Kanal oder Touchpoint behavioral designen            │</w:t>
      </w:r>
      <w:r>
        <w:br/>
      </w:r>
      <w:r>
        <w:rPr>
          <w:rStyle w:val="VerbatimChar"/>
        </w:rPr>
        <w:t xml:space="preserve">│  │   (z.B. App-Onboarding, Chatbot-Konversation)               │</w:t>
      </w:r>
      <w:r>
        <w:br/>
      </w:r>
      <w:r>
        <w:rPr>
          <w:rStyle w:val="VerbatimChar"/>
        </w:rPr>
        <w:t xml:space="preserve">│  │                                                              │</w:t>
      </w:r>
      <w:r>
        <w:br/>
      </w:r>
      <w:r>
        <w:rPr>
          <w:rStyle w:val="VerbatimChar"/>
        </w:rPr>
        <w:t xml:space="preserve">│  ├── Compliance-Integration für neues Regulierungsthema         │</w:t>
      </w:r>
      <w:r>
        <w:br/>
      </w:r>
      <w:r>
        <w:rPr>
          <w:rStyle w:val="VerbatimChar"/>
        </w:rPr>
        <w:t xml:space="preserve">│  │   (z.B. EU AI Act Implikationen für Behavioral Marketing)    │</w:t>
      </w:r>
      <w:r>
        <w:br/>
      </w:r>
      <w:r>
        <w:rPr>
          <w:rStyle w:val="VerbatimChar"/>
        </w:rPr>
        <w:t xml:space="preserve">│  │                                                              │</w:t>
      </w:r>
      <w:r>
        <w:br/>
      </w:r>
      <w:r>
        <w:rPr>
          <w:rStyle w:val="VerbatimChar"/>
        </w:rPr>
        <w:t xml:space="preserve">│  └── Cross-Department Skalierung                                │</w:t>
      </w:r>
      <w:r>
        <w:br/>
      </w:r>
      <w:r>
        <w:rPr>
          <w:rStyle w:val="VerbatimChar"/>
        </w:rPr>
        <w:t xml:space="preserve">│      (Behavioral Ansatz von Marketing auf andere                │</w:t>
      </w:r>
      <w:r>
        <w:br/>
      </w:r>
      <w:r>
        <w:rPr>
          <w:rStyle w:val="VerbatimChar"/>
        </w:rPr>
        <w:t xml:space="preserve">│       Departments übertragen: Wealth Management, Retail)        │</w:t>
      </w:r>
      <w:r>
        <w:br/>
      </w:r>
      <w:r>
        <w:rPr>
          <w:rStyle w:val="VerbatimChar"/>
        </w:rPr>
        <w:t xml:space="preserve">│                                                                 │</w:t>
      </w:r>
      <w:r>
        <w:br/>
      </w:r>
      <w:r>
        <w:rPr>
          <w:rStyle w:val="VerbatimChar"/>
        </w:rPr>
        <w:t xml:space="preserve">│  Typisch: 2-4 Sonderprojekte pro Jahr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JÄHRLICHE GESAMTINVESTITION                                    │</w:t>
      </w:r>
      <w:r>
        <w:br/>
      </w:r>
      <w:r>
        <w:rPr>
          <w:rStyle w:val="VerbatimChar"/>
        </w:rPr>
        <w:t xml:space="preserve">│                                                                 │</w:t>
      </w:r>
      <w:r>
        <w:br/>
      </w:r>
      <w:r>
        <w:rPr>
          <w:rStyle w:val="VerbatimChar"/>
        </w:rPr>
        <w:t xml:space="preserve">│  Strategiepartnerschaft (fix):        ca. CHF 100'000           │</w:t>
      </w:r>
      <w:r>
        <w:br/>
      </w:r>
      <w:r>
        <w:rPr>
          <w:rStyle w:val="VerbatimChar"/>
        </w:rPr>
        <w:t xml:space="preserve">│  Sonderprojekte (variabel, 2-4×):     ca. CHF  80'000-200'000  │</w:t>
      </w:r>
      <w:r>
        <w:br/>
      </w:r>
      <w:r>
        <w:rPr>
          <w:rStyle w:val="VerbatimChar"/>
        </w:rPr>
        <w:t xml:space="preserve">│  ──────────────────────────────────────────────────────         │</w:t>
      </w:r>
      <w:r>
        <w:br/>
      </w:r>
      <w:r>
        <w:rPr>
          <w:rStyle w:val="VerbatimChar"/>
        </w:rPr>
        <w:t xml:space="preserve">│  Gesamtrange:                         ca. CHF 180'000-300'000   │</w:t>
      </w:r>
      <w:r>
        <w:br/>
      </w:r>
      <w:r>
        <w:rPr>
          <w:rStyle w:val="VerbatimChar"/>
        </w:rPr>
        <w:t xml:space="preserve">│                                                                 │</w:t>
      </w:r>
      <w:r>
        <w:br/>
      </w:r>
      <w:r>
        <w:rPr>
          <w:rStyle w:val="VerbatimChar"/>
        </w:rPr>
        <w:t xml:space="preserve">│  Zum Vergleich:                                                 │</w:t>
      </w:r>
      <w:r>
        <w:br/>
      </w:r>
      <w:r>
        <w:rPr>
          <w:rStyle w:val="VerbatimChar"/>
        </w:rPr>
        <w:t xml:space="preserve">│  Klassische Marktforschung (20 Tests): ca. CHF 200'000-400'000 │</w:t>
      </w:r>
      <w:r>
        <w:br/>
      </w:r>
      <w:r>
        <w:rPr>
          <w:rStyle w:val="VerbatimChar"/>
        </w:rPr>
        <w:t xml:space="preserve">│  → BEATRIX-Abo ersetzt den Grossteil davon                     │</w:t>
      </w:r>
      <w:r>
        <w:br/>
      </w:r>
      <w:r>
        <w:rPr>
          <w:rStyle w:val="VerbatimChar"/>
        </w:rPr>
        <w:t xml:space="preserve">│                                                                 │</w:t>
      </w:r>
      <w:r>
        <w:br/>
      </w:r>
      <w:r>
        <w:rPr>
          <w:rStyle w:val="VerbatimChar"/>
        </w:rPr>
        <w:t xml:space="preserve">│  Netto-Effekt: Bessere Ergebnisse bei ähnlicher oder           │</w:t>
      </w:r>
      <w:r>
        <w:br/>
      </w:r>
      <w:r>
        <w:rPr>
          <w:rStyle w:val="VerbatimChar"/>
        </w:rPr>
        <w:t xml:space="preserve">│  geringerer Gesamtinvestition.                                  │</w:t>
      </w:r>
      <w:r>
        <w:br/>
      </w:r>
      <w:r>
        <w:rPr>
          <w:rStyle w:val="VerbatimChar"/>
        </w:rPr>
        <w:t xml:space="preserve">│                                                                 │</w:t>
      </w:r>
      <w:r>
        <w:br/>
      </w:r>
      <w:r>
        <w:rPr>
          <w:rStyle w:val="VerbatimChar"/>
        </w:rPr>
        <w:t xml:space="preserve">└─────────────────────────────────────────────────────────────────┘</w:t>
      </w:r>
    </w:p>
    <w:bookmarkEnd w:id="35"/>
    <w:bookmarkStart w:id="36" w:name="einstieg-die-ersten-90-tage"/>
    <w:p>
      <w:pPr>
        <w:pStyle w:val="Heading3"/>
      </w:pPr>
      <w:r>
        <w:t xml:space="preserve">4.4 Einstieg: Die ersten 90 Tage</w:t>
      </w:r>
    </w:p>
    <w:p>
      <w:pPr>
        <w:pStyle w:val="FirstParagraph"/>
      </w:pPr>
      <w:r>
        <w:t xml:space="preserve">Die Kooperation beginnt nicht mit einem grossen Systemumbau, sondern mit einer fokussierten Diagnose und ersten Quick Wins.</w:t>
      </w:r>
    </w:p>
    <w:p>
      <w:pPr>
        <w:pStyle w:val="BodyText"/>
      </w:pPr>
      <w:r>
        <w:rPr>
          <w:bCs/>
          <w:b/>
        </w:rPr>
        <w:t xml:space="preserve">Monat 1: Behavioral Audit</w:t>
      </w:r>
    </w:p>
    <w:p>
      <w:pPr>
        <w:numPr>
          <w:ilvl w:val="0"/>
          <w:numId w:val="1002"/>
        </w:numPr>
        <w:pStyle w:val="Compact"/>
      </w:pPr>
      <w:r>
        <w:t xml:space="preserve">Kick-off Workshop mit Aydin und Marketing-Leads (1 Tag)</w:t>
      </w:r>
    </w:p>
    <w:p>
      <w:pPr>
        <w:numPr>
          <w:ilvl w:val="0"/>
          <w:numId w:val="1002"/>
        </w:numPr>
        <w:pStyle w:val="Compact"/>
      </w:pPr>
      <w:r>
        <w:t xml:space="preserve">10–15 aktive Kampagnen auf Behavioral Leaks analysieren</w:t>
      </w:r>
    </w:p>
    <w:p>
      <w:pPr>
        <w:numPr>
          <w:ilvl w:val="0"/>
          <w:numId w:val="1002"/>
        </w:numPr>
        <w:pStyle w:val="Compact"/>
      </w:pPr>
      <w:r>
        <w:t xml:space="preserve">1–2 Kund:innen-Journeys auf Friktionen prüfen (z.B. Key Club)</w:t>
      </w:r>
    </w:p>
    <w:p>
      <w:pPr>
        <w:numPr>
          <w:ilvl w:val="0"/>
          <w:numId w:val="1002"/>
        </w:numPr>
        <w:pStyle w:val="Compact"/>
      </w:pPr>
      <w:r>
        <w:t xml:space="preserve">Ergebnis: Leak-Map — wo sind die grössten Hebel?</w:t>
      </w:r>
    </w:p>
    <w:p>
      <w:pPr>
        <w:pStyle w:val="FirstParagraph"/>
      </w:pPr>
      <w:r>
        <w:rPr>
          <w:bCs/>
          <w:b/>
        </w:rPr>
        <w:t xml:space="preserve">Monat 2: Silicon Sample Beweis</w:t>
      </w:r>
    </w:p>
    <w:p>
      <w:pPr>
        <w:numPr>
          <w:ilvl w:val="0"/>
          <w:numId w:val="1003"/>
        </w:numPr>
        <w:pStyle w:val="Compact"/>
      </w:pPr>
      <w:r>
        <w:t xml:space="preserve">1 Kampagne durch BEATRIX simulieren: 3 Framing-Varianten × 3 Entscheidungstypen</w:t>
      </w:r>
    </w:p>
    <w:p>
      <w:pPr>
        <w:numPr>
          <w:ilvl w:val="0"/>
          <w:numId w:val="1003"/>
        </w:numPr>
        <w:pStyle w:val="Compact"/>
      </w:pPr>
      <w:r>
        <w:t xml:space="preserve">Live-Präsentation: «So reagieren 1’000 synthetische UBS-Kund:innen»</w:t>
      </w:r>
    </w:p>
    <w:p>
      <w:pPr>
        <w:numPr>
          <w:ilvl w:val="0"/>
          <w:numId w:val="1003"/>
        </w:numPr>
        <w:pStyle w:val="Compact"/>
      </w:pPr>
      <w:r>
        <w:t xml:space="preserve">Framing-Playbook v1 für die wichtigsten Produktkategorien</w:t>
      </w:r>
    </w:p>
    <w:p>
      <w:pPr>
        <w:numPr>
          <w:ilvl w:val="0"/>
          <w:numId w:val="1003"/>
        </w:numPr>
        <w:pStyle w:val="Compact"/>
      </w:pPr>
      <w:r>
        <w:t xml:space="preserve">Ergebnis: Greifbarer Beweis, dass Behavioral Framing messbar besser wirkt</w:t>
      </w:r>
    </w:p>
    <w:p>
      <w:pPr>
        <w:pStyle w:val="FirstParagraph"/>
      </w:pPr>
      <w:r>
        <w:rPr>
          <w:bCs/>
          <w:b/>
        </w:rPr>
        <w:t xml:space="preserve">Monat 3: Quick Wins und Empfehlung</w:t>
      </w:r>
    </w:p>
    <w:p>
      <w:pPr>
        <w:numPr>
          <w:ilvl w:val="0"/>
          <w:numId w:val="1004"/>
        </w:numPr>
        <w:pStyle w:val="Compact"/>
      </w:pPr>
      <w:r>
        <w:t xml:space="preserve">3–5 Quick Wins spezifizieren und Umsetzung begleiten (z.B. bessere CTAs, Default-Anpassungen, Timing-Shifts)</w:t>
      </w:r>
    </w:p>
    <w:p>
      <w:pPr>
        <w:numPr>
          <w:ilvl w:val="0"/>
          <w:numId w:val="1004"/>
        </w:numPr>
        <w:pStyle w:val="Compact"/>
      </w:pPr>
      <w:r>
        <w:t xml:space="preserve">Potenzial-Report: Wie gross sind die Leaks? Was ist der Hebel?</w:t>
      </w:r>
    </w:p>
    <w:p>
      <w:pPr>
        <w:numPr>
          <w:ilvl w:val="0"/>
          <w:numId w:val="1004"/>
        </w:numPr>
        <w:pStyle w:val="Compact"/>
      </w:pPr>
      <w:r>
        <w:t xml:space="preserve">Strategische Empfehlung: Market-Plus oder Marketing ++?</w:t>
      </w:r>
    </w:p>
    <w:p>
      <w:pPr>
        <w:numPr>
          <w:ilvl w:val="0"/>
          <w:numId w:val="1004"/>
        </w:numPr>
        <w:pStyle w:val="Compact"/>
      </w:pPr>
      <w:r>
        <w:t xml:space="preserve">Ergebnis: Datenbasierte Grundlage für die strategische Entscheidung</w:t>
      </w:r>
    </w:p>
    <w:p>
      <w:pPr>
        <w:pStyle w:val="FirstParagraph"/>
      </w:pPr>
      <w:r>
        <w:rPr>
          <w:bCs/>
          <w:b/>
        </w:rPr>
        <w:t xml:space="preserve">Investition für die ersten 90 Tage:</w:t>
      </w:r>
      <w:r>
        <w:t xml:space="preserve"> </w:t>
      </w:r>
      <w:r>
        <w:t xml:space="preserve">ca. CHF 65’000–85’000 (wird auf die jährliche Strategiepartnerschaft angerechnet bei Fortführung)</w:t>
      </w:r>
    </w:p>
    <w:bookmarkEnd w:id="36"/>
    <w:bookmarkStart w:id="37" w:name="warum-fehradvice"/>
    <w:p>
      <w:pPr>
        <w:pStyle w:val="Heading3"/>
      </w:pPr>
      <w:r>
        <w:t xml:space="preserve">4.5 Warum FehrAdvice?</w:t>
      </w:r>
    </w:p>
    <w:p>
      <w:pPr>
        <w:pStyle w:val="FirstParagraph"/>
      </w:pPr>
      <w:r>
        <w:rPr>
          <w:bCs/>
          <w:b/>
        </w:rPr>
        <w:t xml:space="preserve">Was andere haben — und was nur FAP hat: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McKinsey/BCG</w:t>
            </w:r>
          </w:p>
        </w:tc>
        <w:tc>
          <w:tcPr/>
          <w:p>
            <w:pPr>
              <w:pStyle w:val="Compact"/>
              <w:jc w:val="left"/>
            </w:pPr>
            <w:r>
              <w:t xml:space="preserve">Agenturen</w:t>
            </w:r>
          </w:p>
        </w:tc>
        <w:tc>
          <w:tcPr/>
          <w:p>
            <w:pPr>
              <w:pStyle w:val="Compact"/>
              <w:jc w:val="left"/>
            </w:pPr>
            <w:r>
              <w:t xml:space="preserve">Accenture</w:t>
            </w:r>
          </w:p>
        </w:tc>
        <w:tc>
          <w:tcPr/>
          <w:p>
            <w:pPr>
              <w:pStyle w:val="Compact"/>
              <w:jc w:val="left"/>
            </w:pPr>
            <w:r>
              <w:rPr>
                <w:bCs/>
                <w:b/>
              </w:rPr>
              <w:t xml:space="preserve">FehrAdvice</w:t>
            </w:r>
          </w:p>
        </w:tc>
      </w:tr>
      <w:tr>
        <w:tc>
          <w:tcPr/>
          <w:p>
            <w:pPr>
              <w:pStyle w:val="Compact"/>
              <w:jc w:val="left"/>
            </w:pPr>
            <w:r>
              <w:t xml:space="preserve">GenAI-Expertise</w:t>
            </w:r>
          </w:p>
        </w:tc>
        <w:tc>
          <w:tcPr/>
          <w:p>
            <w:pPr>
              <w:pStyle w:val="Compact"/>
              <w:jc w:val="left"/>
            </w:pPr>
            <w:r>
              <w:t xml:space="preserve">Ja</w:t>
            </w:r>
          </w:p>
        </w:tc>
        <w:tc>
          <w:tcPr/>
          <w:p>
            <w:pPr>
              <w:pStyle w:val="Compact"/>
              <w:jc w:val="left"/>
            </w:pPr>
            <w:r>
              <w:t xml:space="preserve">Teilweise</w:t>
            </w:r>
          </w:p>
        </w:tc>
        <w:tc>
          <w:tcPr/>
          <w:p>
            <w:pPr>
              <w:pStyle w:val="Compact"/>
              <w:jc w:val="left"/>
            </w:pPr>
            <w:r>
              <w:t xml:space="preserve">Ja</w:t>
            </w:r>
          </w:p>
        </w:tc>
        <w:tc>
          <w:tcPr/>
          <w:p>
            <w:pPr>
              <w:pStyle w:val="Compact"/>
              <w:jc w:val="left"/>
            </w:pPr>
            <w:r>
              <w:t xml:space="preserve">Teilweise</w:t>
            </w:r>
          </w:p>
        </w:tc>
      </w:tr>
      <w:tr>
        <w:tc>
          <w:tcPr/>
          <w:p>
            <w:pPr>
              <w:pStyle w:val="Compact"/>
              <w:jc w:val="left"/>
            </w:pPr>
            <w:r>
              <w:t xml:space="preserve">Behavioral Science</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c>
          <w:tcPr/>
          <w:p>
            <w:pPr>
              <w:pStyle w:val="Compact"/>
              <w:jc w:val="left"/>
            </w:pPr>
            <w:r>
              <w:rPr>
                <w:bCs/>
                <w:b/>
              </w:rPr>
              <w:t xml:space="preserve">Kernkompetenz</w:t>
            </w:r>
          </w:p>
        </w:tc>
      </w:tr>
      <w:tr>
        <w:tc>
          <w:tcPr/>
          <w:p>
            <w:pPr>
              <w:pStyle w:val="Compact"/>
              <w:jc w:val="left"/>
            </w:pPr>
            <w:r>
              <w:t xml:space="preserve">BEATRIX / Silicon Samples</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c>
          <w:tcPr/>
          <w:p>
            <w:pPr>
              <w:pStyle w:val="Compact"/>
              <w:jc w:val="left"/>
            </w:pPr>
            <w:r>
              <w:rPr>
                <w:bCs/>
                <w:b/>
              </w:rPr>
              <w:t xml:space="preserve">Exklusiv</w:t>
            </w:r>
          </w:p>
        </w:tc>
      </w:tr>
      <w:tr>
        <w:tc>
          <w:tcPr/>
          <w:p>
            <w:pPr>
              <w:pStyle w:val="Compact"/>
              <w:jc w:val="left"/>
            </w:pPr>
            <w:r>
              <w:t xml:space="preserve">Akademische Fundierung</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c>
          <w:tcPr/>
          <w:p>
            <w:pPr>
              <w:pStyle w:val="Compact"/>
              <w:jc w:val="left"/>
            </w:pPr>
            <w:r>
              <w:rPr>
                <w:bCs/>
                <w:b/>
              </w:rPr>
              <w:t xml:space="preserve">Prof. Ernst Fehr</w:t>
            </w:r>
          </w:p>
        </w:tc>
      </w:tr>
      <w:tr>
        <w:tc>
          <w:tcPr/>
          <w:p>
            <w:pPr>
              <w:pStyle w:val="Compact"/>
              <w:jc w:val="left"/>
            </w:pPr>
            <w:r>
              <w:t xml:space="preserve">2’347 kuratierte Papers</w:t>
            </w:r>
          </w:p>
        </w:tc>
        <w:tc>
          <w:tcPr/>
          <w:p>
            <w:pPr>
              <w:pStyle w:val="Compact"/>
              <w:jc w:val="left"/>
            </w:pPr>
            <w:r>
              <w:t xml:space="preserve">Nein</w:t>
            </w:r>
          </w:p>
        </w:tc>
        <w:tc>
          <w:tcPr/>
          <w:p>
            <w:pPr>
              <w:pStyle w:val="Compact"/>
              <w:jc w:val="left"/>
            </w:pPr>
            <w:r>
              <w:t xml:space="preserve">Nein</w:t>
            </w:r>
          </w:p>
        </w:tc>
        <w:tc>
          <w:tcPr/>
          <w:p>
            <w:pPr>
              <w:pStyle w:val="Compact"/>
              <w:jc w:val="left"/>
            </w:pPr>
            <w:r>
              <w:t xml:space="preserve">Nein</w:t>
            </w:r>
          </w:p>
        </w:tc>
        <w:tc>
          <w:tcPr/>
          <w:p>
            <w:pPr>
              <w:pStyle w:val="Compact"/>
              <w:jc w:val="left"/>
            </w:pPr>
            <w:r>
              <w:rPr>
                <w:bCs/>
                <w:b/>
              </w:rPr>
              <w:t xml:space="preserve">Ja</w:t>
            </w:r>
          </w:p>
        </w:tc>
      </w:tr>
      <w:tr>
        <w:tc>
          <w:tcPr/>
          <w:p>
            <w:pPr>
              <w:pStyle w:val="Compact"/>
              <w:jc w:val="left"/>
            </w:pPr>
            <w:r>
              <w:t xml:space="preserve">Banking-Erfahrung</w:t>
            </w:r>
          </w:p>
        </w:tc>
        <w:tc>
          <w:tcPr/>
          <w:p>
            <w:pPr>
              <w:pStyle w:val="Compact"/>
              <w:jc w:val="left"/>
            </w:pPr>
            <w:r>
              <w:t xml:space="preserve">Ja</w:t>
            </w:r>
          </w:p>
        </w:tc>
        <w:tc>
          <w:tcPr/>
          <w:p>
            <w:pPr>
              <w:pStyle w:val="Compact"/>
              <w:jc w:val="left"/>
            </w:pPr>
            <w:r>
              <w:t xml:space="preserve">Teilweise</w:t>
            </w:r>
          </w:p>
        </w:tc>
        <w:tc>
          <w:tcPr/>
          <w:p>
            <w:pPr>
              <w:pStyle w:val="Compact"/>
              <w:jc w:val="left"/>
            </w:pPr>
            <w:r>
              <w:t xml:space="preserve">Ja</w:t>
            </w:r>
          </w:p>
        </w:tc>
        <w:tc>
          <w:tcPr/>
          <w:p>
            <w:pPr>
              <w:pStyle w:val="Compact"/>
              <w:jc w:val="left"/>
            </w:pPr>
            <w:r>
              <w:t xml:space="preserve">Ja (20+ Finanzprojekte)</w:t>
            </w:r>
          </w:p>
        </w:tc>
      </w:tr>
      <w:tr>
        <w:tc>
          <w:tcPr/>
          <w:p>
            <w:pPr>
              <w:pStyle w:val="Compact"/>
              <w:jc w:val="left"/>
            </w:pPr>
            <w:r>
              <w:t xml:space="preserve">System-Integration</w:t>
            </w:r>
          </w:p>
        </w:tc>
        <w:tc>
          <w:tcPr/>
          <w:p>
            <w:pPr>
              <w:pStyle w:val="Compact"/>
              <w:jc w:val="left"/>
            </w:pPr>
            <w:r>
              <w:t xml:space="preserve">Teilweise</w:t>
            </w:r>
          </w:p>
        </w:tc>
        <w:tc>
          <w:tcPr/>
          <w:p>
            <w:pPr>
              <w:pStyle w:val="Compact"/>
              <w:jc w:val="left"/>
            </w:pPr>
            <w:r>
              <w:t xml:space="preserve">Nein</w:t>
            </w:r>
          </w:p>
        </w:tc>
        <w:tc>
          <w:tcPr/>
          <w:p>
            <w:pPr>
              <w:pStyle w:val="Compact"/>
              <w:jc w:val="left"/>
            </w:pPr>
            <w:r>
              <w:t xml:space="preserve">Ja</w:t>
            </w:r>
          </w:p>
        </w:tc>
        <w:tc>
          <w:tcPr/>
          <w:p>
            <w:pPr>
              <w:pStyle w:val="Compact"/>
              <w:jc w:val="left"/>
            </w:pPr>
            <w:r>
              <w:t xml:space="preserve">Nein (nicht unser Fokus)</w:t>
            </w:r>
          </w:p>
        </w:tc>
      </w:tr>
    </w:tbl>
    <w:p>
      <w:pPr>
        <w:pStyle w:val="BodyText"/>
      </w:pPr>
      <w:r>
        <w:t xml:space="preserve">FehrAdvice ist kein Technologie-Integrator und keine Kreativ-Agentur. Wir sind der Partner, der die Frage beantwortet:</w:t>
      </w:r>
      <w:r>
        <w:t xml:space="preserve"> </w:t>
      </w:r>
      <w:r>
        <w:rPr>
          <w:bCs/>
          <w:b/>
        </w:rPr>
        <w:t xml:space="preserve">Warum entscheiden sich Menschen so, wie sie sich entscheiden — und wie gestaltet man Marketing, das dieses Verhalten versteht?</w:t>
      </w:r>
    </w:p>
    <w:p>
      <w:pPr>
        <w:pStyle w:val="BodyText"/>
      </w:pPr>
      <w:r>
        <w:t xml:space="preserve">Kein anderer Schweizer Berater vereint Behavioral Economics, akademische Fundierung (Prof. Ernst Fehr), und ein Simulations-Tool (BEATRIX) in einer Kooperation.</w:t>
      </w:r>
    </w:p>
    <w:p>
      <w:r>
        <w:pict>
          <v:rect style="width:0;height:1.5pt" o:hralign="center" o:hrstd="t" o:hr="t"/>
        </w:pict>
      </w:r>
    </w:p>
    <w:bookmarkEnd w:id="37"/>
    <w:bookmarkEnd w:id="38"/>
    <w:bookmarkStart w:id="39" w:name="Xe4c536684828211bab78598d3ea9f686188e965"/>
    <w:p>
      <w:pPr>
        <w:pStyle w:val="Heading2"/>
      </w:pPr>
      <w:r>
        <w:t xml:space="preserve">Teil 5: Die Entscheidung — Drei Wege für Aydin</w:t>
      </w:r>
    </w:p>
    <w:p>
      <w:pPr>
        <w:pStyle w:val="SourceCode"/>
      </w:pPr>
      <w:r>
        <w:rPr>
          <w:rStyle w:val="VerbatimChar"/>
        </w:rPr>
        <w:t xml:space="preserve">┌─────────────────────────────────────────────────────────────────┐</w:t>
      </w:r>
      <w:r>
        <w:br/>
      </w:r>
      <w:r>
        <w:rPr>
          <w:rStyle w:val="VerbatimChar"/>
        </w:rPr>
        <w:t xml:space="preserve">│                                                                 │</w:t>
      </w:r>
      <w:r>
        <w:br/>
      </w:r>
      <w:r>
        <w:rPr>
          <w:rStyle w:val="VerbatimChar"/>
        </w:rPr>
        <w:t xml:space="preserve">│  WEG 1: «Wir schauen uns das an»                                │</w:t>
      </w:r>
      <w:r>
        <w:br/>
      </w:r>
      <w:r>
        <w:rPr>
          <w:rStyle w:val="VerbatimChar"/>
        </w:rPr>
        <w:t xml:space="preserve">│  Behavioral Audit (90 Tage, CHF 65-85k)                        │</w:t>
      </w:r>
      <w:r>
        <w:br/>
      </w:r>
      <w:r>
        <w:rPr>
          <w:rStyle w:val="VerbatimChar"/>
        </w:rPr>
        <w:t xml:space="preserve">│  → Leak-Map, Silicon Sample Demo, Quick Wins                    │</w:t>
      </w:r>
      <w:r>
        <w:br/>
      </w:r>
      <w:r>
        <w:rPr>
          <w:rStyle w:val="VerbatimChar"/>
        </w:rPr>
        <w:t xml:space="preserve">│  → Danach: Datenbasierte Entscheidung über Fortführung          │</w:t>
      </w:r>
      <w:r>
        <w:br/>
      </w:r>
      <w:r>
        <w:rPr>
          <w:rStyle w:val="VerbatimChar"/>
        </w:rPr>
        <w:t xml:space="preserve">│  → Kein Lock-in, kein Risiko.                                   │</w:t>
      </w:r>
      <w:r>
        <w:br/>
      </w:r>
      <w:r>
        <w:rPr>
          <w:rStyle w:val="VerbatimChar"/>
        </w:rPr>
        <w:t xml:space="preserve">│                                                                 │</w:t>
      </w:r>
      <w:r>
        <w:br/>
      </w:r>
      <w:r>
        <w:rPr>
          <w:rStyle w:val="VerbatimChar"/>
        </w:rPr>
        <w:t xml:space="preserve">│  WEG 2: «Wir starten die Partnerschaft»                        │</w:t>
      </w:r>
      <w:r>
        <w:br/>
      </w:r>
      <w:r>
        <w:rPr>
          <w:rStyle w:val="VerbatimChar"/>
        </w:rPr>
        <w:t xml:space="preserve">│  Jährliche Strategiepartnerschaft (CHF 100k/Jahr)               │</w:t>
      </w:r>
      <w:r>
        <w:br/>
      </w:r>
      <w:r>
        <w:rPr>
          <w:rStyle w:val="VerbatimChar"/>
        </w:rPr>
        <w:t xml:space="preserve">│  → Audit in den ersten 90 Tagen inklusive                       │</w:t>
      </w:r>
      <w:r>
        <w:br/>
      </w:r>
      <w:r>
        <w:rPr>
          <w:rStyle w:val="VerbatimChar"/>
        </w:rPr>
        <w:t xml:space="preserve">│  → Danach: Laufende Analysen, Playbook, Quartals-Reviews        │</w:t>
      </w:r>
      <w:r>
        <w:br/>
      </w:r>
      <w:r>
        <w:rPr>
          <w:rStyle w:val="VerbatimChar"/>
        </w:rPr>
        <w:t xml:space="preserve">│  → Sonderprojekte nach Bedarf (CHF 40-50k pro Projekt)          │</w:t>
      </w:r>
      <w:r>
        <w:br/>
      </w:r>
      <w:r>
        <w:rPr>
          <w:rStyle w:val="VerbatimChar"/>
        </w:rPr>
        <w:t xml:space="preserve">│                                                                 │</w:t>
      </w:r>
      <w:r>
        <w:br/>
      </w:r>
      <w:r>
        <w:rPr>
          <w:rStyle w:val="VerbatimChar"/>
        </w:rPr>
        <w:t xml:space="preserve">│  WEG 3: «Zeigt uns erst mal einen Beweis»                       │</w:t>
      </w:r>
      <w:r>
        <w:br/>
      </w:r>
      <w:r>
        <w:rPr>
          <w:rStyle w:val="VerbatimChar"/>
        </w:rPr>
        <w:t xml:space="preserve">│  1 Silicon Sample kostenlos                                     │</w:t>
      </w:r>
      <w:r>
        <w:br/>
      </w:r>
      <w:r>
        <w:rPr>
          <w:rStyle w:val="VerbatimChar"/>
        </w:rPr>
        <w:t xml:space="preserve">│  → UBS gibt uns 1 aktive Kampagne                               │</w:t>
      </w:r>
      <w:r>
        <w:br/>
      </w:r>
      <w:r>
        <w:rPr>
          <w:rStyle w:val="VerbatimChar"/>
        </w:rPr>
        <w:t xml:space="preserve">│  → Wir liefern in 1 Woche: 3 Framing-Varianten simuliert       │</w:t>
      </w:r>
      <w:r>
        <w:br/>
      </w:r>
      <w:r>
        <w:rPr>
          <w:rStyle w:val="VerbatimChar"/>
        </w:rPr>
        <w:t xml:space="preserve">│  → Danach: Gespräch über Weg 1 oder 2                           │</w:t>
      </w:r>
      <w:r>
        <w:br/>
      </w:r>
      <w:r>
        <w:rPr>
          <w:rStyle w:val="VerbatimChar"/>
        </w:rPr>
        <w:t xml:space="preserve">│                                                                 │</w:t>
      </w:r>
      <w:r>
        <w:br/>
      </w:r>
      <w:r>
        <w:rPr>
          <w:rStyle w:val="VerbatimChar"/>
        </w:rPr>
        <w:t xml:space="preserve">└─────────────────────────────────────────────────────────────────┘</w:t>
      </w:r>
    </w:p>
    <w:p>
      <w:r>
        <w:pict>
          <v:rect style="width:0;height:1.5pt" o:hralign="center" o:hrstd="t" o:hr="t"/>
        </w:pict>
      </w:r>
    </w:p>
    <w:bookmarkEnd w:id="39"/>
    <w:bookmarkStart w:id="40" w:name="anhang-a-über-fehradvice-partners-ag"/>
    <w:p>
      <w:pPr>
        <w:pStyle w:val="Heading2"/>
      </w:pPr>
      <w:r>
        <w:t xml:space="preserve">Anhang A: Über FehrAdvice &amp; Partners AG</w:t>
      </w:r>
    </w:p>
    <w:p>
      <w:pPr>
        <w:pStyle w:val="FirstParagraph"/>
      </w:pPr>
      <w:r>
        <w:t xml:space="preserve">FehrAdvice &amp; Partners ist das führende Beratungsunternehmen für Verhaltensökonomie im deutschsprachigen Raum. Gegründet 2008 in Zürich, beraten wir Unternehmen und Regierungen dabei, menschliches Verhalten evidenzbasiert zu verstehen und zu gestalten.</w:t>
      </w:r>
    </w:p>
    <w:p>
      <w:pPr>
        <w:pStyle w:val="BodyText"/>
      </w:pPr>
      <w:r>
        <w:rPr>
          <w:bCs/>
          <w:b/>
        </w:rPr>
        <w:t xml:space="preserve">Wissenschaftliche Basis:</w:t>
      </w:r>
      <w:r>
        <w:t xml:space="preserve"> </w:t>
      </w:r>
      <w:r>
        <w:t xml:space="preserve">- Zusammenarbeit mit Prof. Ernst Fehr (Universität Zürich), einem der weltweit meistzitierten Ökonomen</w:t>
      </w:r>
      <w:r>
        <w:t xml:space="preserve"> </w:t>
      </w:r>
      <w:r>
        <w:t xml:space="preserve">- Evidence-Based Framework (EBF) mit 2’347 kuratierten wissenschaftlichen Papers</w:t>
      </w:r>
      <w:r>
        <w:t xml:space="preserve"> </w:t>
      </w:r>
      <w:r>
        <w:t xml:space="preserve">- 852 dokumentierte Behavioral Cases, 153 wissenschaftliche Theorien</w:t>
      </w:r>
    </w:p>
    <w:p>
      <w:pPr>
        <w:pStyle w:val="BodyText"/>
      </w:pPr>
      <w:r>
        <w:rPr>
          <w:bCs/>
          <w:b/>
        </w:rPr>
        <w:t xml:space="preserve">BEATRIX:</w:t>
      </w:r>
      <w:r>
        <w:t xml:space="preserve"> </w:t>
      </w:r>
      <w:r>
        <w:t xml:space="preserve">- Entwickelt in Kooperation mit der ZHAW (Zürcher Hochschule für Angewandte Wissenschaften)</w:t>
      </w:r>
      <w:r>
        <w:t xml:space="preserve"> </w:t>
      </w:r>
      <w:r>
        <w:t xml:space="preserve">- Silicon Samples: Simulation von Kund:innen-Reaktionen auf Kampagnen-Varianten</w:t>
      </w:r>
      <w:r>
        <w:t xml:space="preserve"> </w:t>
      </w:r>
      <w:r>
        <w:t xml:space="preserve">- Innosuisse-gefördertes Forschungsprojekt (Innovation Cheque 2025)</w:t>
      </w:r>
    </w:p>
    <w:p>
      <w:pPr>
        <w:pStyle w:val="BodyText"/>
      </w:pPr>
      <w:r>
        <w:rPr>
          <w:bCs/>
          <w:b/>
        </w:rPr>
        <w:t xml:space="preserve">Relevante Projekterfahrung (Auswahl):</w:t>
      </w:r>
      <w:r>
        <w:t xml:space="preserve"> </w:t>
      </w:r>
      <w:r>
        <w:t xml:space="preserve">- 20+ Projekte im Finanzsektor (Banken, Versicherungen, Pensionskassen)</w:t>
      </w:r>
      <w:r>
        <w:t xml:space="preserve"> </w:t>
      </w:r>
      <w:r>
        <w:t xml:space="preserve">- Behavioral Nudging für Energieversorger (BFE)</w:t>
      </w:r>
      <w:r>
        <w:t xml:space="preserve"> </w:t>
      </w:r>
      <w:r>
        <w:t xml:space="preserve">- Verhaltensökonomische Strategieberatung für Industrieunternehmen (ALPLA, PORR)</w:t>
      </w:r>
      <w:r>
        <w:t xml:space="preserve"> </w:t>
      </w:r>
      <w:r>
        <w:t xml:space="preserve">- Politische Behavioral-Analysen und Kampagnenberatung</w:t>
      </w:r>
    </w:p>
    <w:p>
      <w:r>
        <w:pict>
          <v:rect style="width:0;height:1.5pt" o:hralign="center" o:hrstd="t" o:hr="t"/>
        </w:pict>
      </w:r>
    </w:p>
    <w:bookmarkEnd w:id="40"/>
    <w:bookmarkStart w:id="41" w:name="anhang-b-glossar"/>
    <w:p>
      <w:pPr>
        <w:pStyle w:val="Heading2"/>
      </w:pPr>
      <w:r>
        <w:t xml:space="preserve">Anhang B: Glossar</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Begriff</w:t>
            </w:r>
          </w:p>
        </w:tc>
        <w:tc>
          <w:tcPr/>
          <w:p>
            <w:pPr>
              <w:pStyle w:val="Compact"/>
              <w:jc w:val="left"/>
            </w:pPr>
            <w:r>
              <w:t xml:space="preserve">Definition</w:t>
            </w:r>
          </w:p>
        </w:tc>
      </w:tr>
      <w:tr>
        <w:tc>
          <w:tcPr/>
          <w:p>
            <w:pPr>
              <w:pStyle w:val="Compact"/>
              <w:jc w:val="left"/>
            </w:pPr>
            <w:r>
              <w:rPr>
                <w:bCs/>
                <w:b/>
              </w:rPr>
              <w:t xml:space="preserve">Behavioral Leak</w:t>
            </w:r>
          </w:p>
        </w:tc>
        <w:tc>
          <w:tcPr/>
          <w:p>
            <w:pPr>
              <w:pStyle w:val="Compact"/>
              <w:jc w:val="left"/>
            </w:pPr>
            <w:r>
              <w:t xml:space="preserve">Stelle im Marketing-Prozess, an der gute Kampagnen an menschlichem Entscheidungsverhalten scheitern</w:t>
            </w:r>
          </w:p>
        </w:tc>
      </w:tr>
      <w:tr>
        <w:tc>
          <w:tcPr/>
          <w:p>
            <w:pPr>
              <w:pStyle w:val="Compact"/>
              <w:jc w:val="left"/>
            </w:pPr>
            <w:r>
              <w:rPr>
                <w:bCs/>
                <w:b/>
              </w:rPr>
              <w:t xml:space="preserve">Behavioral Framing</w:t>
            </w:r>
          </w:p>
        </w:tc>
        <w:tc>
          <w:tcPr/>
          <w:p>
            <w:pPr>
              <w:pStyle w:val="Compact"/>
              <w:jc w:val="left"/>
            </w:pPr>
            <w:r>
              <w:t xml:space="preserve">Darstellung von Information aus der Perspektive des Entscheidungsverhaltens der Zielgruppe (statt aus Produktsicht)</w:t>
            </w:r>
          </w:p>
        </w:tc>
      </w:tr>
      <w:tr>
        <w:tc>
          <w:tcPr/>
          <w:p>
            <w:pPr>
              <w:pStyle w:val="Compact"/>
              <w:jc w:val="left"/>
            </w:pPr>
            <w:r>
              <w:rPr>
                <w:bCs/>
                <w:b/>
              </w:rPr>
              <w:t xml:space="preserve">Behavioral Segmentation</w:t>
            </w:r>
          </w:p>
        </w:tc>
        <w:tc>
          <w:tcPr/>
          <w:p>
            <w:pPr>
              <w:pStyle w:val="Compact"/>
              <w:jc w:val="left"/>
            </w:pPr>
            <w:r>
              <w:t xml:space="preserve">Segmentierung nach Entscheidungstypen (z.B. loss-averse, gain-seeking, delegating) statt nach Demografie</w:t>
            </w:r>
          </w:p>
        </w:tc>
      </w:tr>
      <w:tr>
        <w:tc>
          <w:tcPr/>
          <w:p>
            <w:pPr>
              <w:pStyle w:val="Compact"/>
              <w:jc w:val="left"/>
            </w:pPr>
            <w:r>
              <w:rPr>
                <w:bCs/>
                <w:b/>
              </w:rPr>
              <w:t xml:space="preserve">BEATRIX</w:t>
            </w:r>
          </w:p>
        </w:tc>
        <w:tc>
          <w:tcPr/>
          <w:p>
            <w:pPr>
              <w:pStyle w:val="Compact"/>
              <w:jc w:val="left"/>
            </w:pPr>
            <w:r>
              <w:t xml:space="preserve">Behavioral Economics AI Tool for Research and Interaction eXperiments — Simulations-Plattform für Silicon Samples</w:t>
            </w:r>
          </w:p>
        </w:tc>
      </w:tr>
      <w:tr>
        <w:tc>
          <w:tcPr/>
          <w:p>
            <w:pPr>
              <w:pStyle w:val="Compact"/>
              <w:jc w:val="left"/>
            </w:pPr>
            <w:r>
              <w:rPr>
                <w:bCs/>
                <w:b/>
              </w:rPr>
              <w:t xml:space="preserve">Silicon Sample</w:t>
            </w:r>
          </w:p>
        </w:tc>
        <w:tc>
          <w:tcPr/>
          <w:p>
            <w:pPr>
              <w:pStyle w:val="Compact"/>
              <w:jc w:val="left"/>
            </w:pPr>
            <w:r>
              <w:t xml:space="preserve">Synthetische Stichprobe aus computergenierten Personen, die auf Kampagnen-Varianten reagieren</w:t>
            </w:r>
          </w:p>
        </w:tc>
      </w:tr>
      <w:tr>
        <w:tc>
          <w:tcPr/>
          <w:p>
            <w:pPr>
              <w:pStyle w:val="Compact"/>
              <w:jc w:val="left"/>
            </w:pPr>
            <w:r>
              <w:rPr>
                <w:bCs/>
                <w:b/>
              </w:rPr>
              <w:t xml:space="preserve">Marketing ++</w:t>
            </w:r>
          </w:p>
        </w:tc>
        <w:tc>
          <w:tcPr/>
          <w:p>
            <w:pPr>
              <w:pStyle w:val="Compact"/>
              <w:jc w:val="left"/>
            </w:pPr>
            <w:r>
              <w:t xml:space="preserve">Positionierung eines Departments als Vorreiter innerhalb der UBS — deutlich über dem internen Durchschnitt</w:t>
            </w:r>
          </w:p>
        </w:tc>
      </w:tr>
      <w:tr>
        <w:tc>
          <w:tcPr/>
          <w:p>
            <w:pPr>
              <w:pStyle w:val="Compact"/>
              <w:jc w:val="left"/>
            </w:pPr>
            <w:r>
              <w:rPr>
                <w:bCs/>
                <w:b/>
              </w:rPr>
              <w:t xml:space="preserve">Behavioral Conversion Rate</w:t>
            </w:r>
          </w:p>
        </w:tc>
        <w:tc>
          <w:tcPr/>
          <w:p>
            <w:pPr>
              <w:pStyle w:val="Compact"/>
              <w:jc w:val="left"/>
            </w:pPr>
            <w:r>
              <w:t xml:space="preserve">Anteil der erreichten Personen, die eine tatsächliche Entscheidung treffen (im Gegensatz zu CTR, die nur Klicks misst)</w:t>
            </w:r>
          </w:p>
        </w:tc>
      </w:tr>
      <w:tr>
        <w:tc>
          <w:tcPr/>
          <w:p>
            <w:pPr>
              <w:pStyle w:val="Compact"/>
              <w:jc w:val="left"/>
            </w:pPr>
            <w:r>
              <w:rPr>
                <w:bCs/>
                <w:b/>
              </w:rPr>
              <w:t xml:space="preserve">Friction Audit</w:t>
            </w:r>
          </w:p>
        </w:tc>
        <w:tc>
          <w:tcPr/>
          <w:p>
            <w:pPr>
              <w:pStyle w:val="Compact"/>
              <w:jc w:val="left"/>
            </w:pPr>
            <w:r>
              <w:t xml:space="preserve">Systematische Prüfung einer Kund:innen-Journey auf verhaltensökonomische Hürden</w:t>
            </w:r>
          </w:p>
        </w:tc>
      </w:tr>
      <w:tr>
        <w:tc>
          <w:tcPr/>
          <w:p>
            <w:pPr>
              <w:pStyle w:val="Compact"/>
              <w:jc w:val="left"/>
            </w:pPr>
            <w:r>
              <w:rPr>
                <w:bCs/>
                <w:b/>
              </w:rPr>
              <w:t xml:space="preserve">Framing-Playbook</w:t>
            </w:r>
          </w:p>
        </w:tc>
        <w:tc>
          <w:tcPr/>
          <w:p>
            <w:pPr>
              <w:pStyle w:val="Compact"/>
              <w:jc w:val="left"/>
            </w:pPr>
            <w:r>
              <w:t xml:space="preserve">Standardisiertes Nachschlagewerk: Pro Produktkategorie × Entscheidungstyp der optimale kommunikative Frame</w:t>
            </w:r>
          </w:p>
        </w:tc>
      </w:tr>
    </w:tbl>
    <w:p>
      <w:r>
        <w:pict>
          <v:rect style="width:0;height:1.5pt" o:hralign="center" o:hrstd="t" o:hr="t"/>
        </w:pict>
      </w:r>
    </w:p>
    <w:p>
      <w:pPr>
        <w:pStyle w:val="FirstParagraph"/>
      </w:pPr>
      <w:r>
        <w:rPr>
          <w:iCs/>
          <w:i/>
        </w:rPr>
        <w:t xml:space="preserve">FehrAdvice &amp; Partners AG | Klausstrasse 20 | 8008 Zürich</w:t>
      </w:r>
      <w:r>
        <w:t xml:space="preserve"> </w:t>
      </w:r>
      <w:r>
        <w:rPr>
          <w:iCs/>
          <w:i/>
        </w:rPr>
        <w:t xml:space="preserve">www.fehradvice.com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Kooperationskonzept &amp; Proposal: Behavioral Marketing @ UBS Switzerland</dc:title>
  <dc:creator>FehrAdvice &amp; Partners AG</dc:creator>
  <cp:keywords/>
  <dcterms:created xsi:type="dcterms:W3CDTF">2026-02-19T13:56:17Z</dcterms:created>
  <dcterms:modified xsi:type="dcterms:W3CDTF">2026-02-19T13:56:17Z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 2026</vt:lpwstr>
  </property>
</Properties>
</file>