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365d" w:sz="16"/>
              <w:left w:val="single" w:color="1a365d" w:sz="16"/>
              <w:bottom w:val="single" w:color="1a365d" w:sz="16"/>
              <w:right w:val="single" w:color="1a365d" w:sz="16"/>
            </w:tcBorders>
            <w:shd w:fill="1a365d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EXECUTIVE SUMMARY</w:t>
            </w:r>
          </w:p>
          <w:p>
            <w:pPr>
              <w:spacing w:after="100"/>
              <w:jc w:val="center"/>
            </w:pPr>
            <w:r>
              <w:rPr>
                <w:color w:val="E2E8F0"/>
                <w:sz w:val="24"/>
                <w:szCs w:val="24"/>
              </w:rPr>
              <w:t xml:space="preserve">U.S. Military Intervention in Venezuela: Strategic Assessment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il"/>
              <w:left w:val="nil"/>
              <w:bottom w:val="nil"/>
              <w:right w:val="single" w:color="CBD5E0" w:sz="1"/>
            </w:tcBorders>
          </w:tcPr>
          <w:p>
            <w:pPr>
              <w:spacing w:before="160"/>
            </w:pPr>
            <w:r>
              <w:rPr>
                <w:b/>
                <w:bCs/>
                <w:color w:val="1a365d"/>
                <w:sz w:val="22"/>
                <w:szCs w:val="22"/>
              </w:rPr>
              <w:t xml:space="preserve">SITUATION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A U.S. military intervention to remove the Maduro regime is under consideration. This assessment projects outcomes using the Ψ-Framework across three scenarios and multiple stakeholder groups.</w:t>
            </w: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0"/>
            </w:tblGrid>
            <w:tr>
              <w:tc>
                <w:tcPr>
                  <w:tcW w:type="dxa" w:w="4800"/>
                  <w:tcBorders>
                    <w:top w:val="single" w:color="dc2626" w:sz="2"/>
                    <w:left w:val="single" w:color="dc2626" w:sz="2"/>
                    <w:bottom w:val="single" w:color="dc2626" w:sz="2"/>
                    <w:right w:val="single" w:color="dc2626" w:sz="2"/>
                  </w:tcBorders>
                  <w:shd w:fill="fef2f2" w:val="clear"/>
                </w:tcPr>
                <w:p>
                  <w:pPr>
                    <w:spacing w:before="60"/>
                  </w:pPr>
                  <w:r>
                    <w:rPr>
                      <w:b/>
                      <w:bCs/>
                      <w:color w:val="991b1b"/>
                      <w:sz w:val="20"/>
                      <w:szCs w:val="20"/>
                    </w:rPr>
                    <w:t xml:space="preserve">KEY FINDING</w:t>
                  </w:r>
                </w:p>
                <w:p>
                  <w:pPr>
                    <w:spacing w:after="60"/>
                  </w:pPr>
                  <w:r>
                    <w:rPr>
                      <w:color w:val="991b1b"/>
                      <w:sz w:val="20"/>
                      <w:szCs w:val="20"/>
                    </w:rPr>
                    <w:t xml:space="preserve">Negative-sum outcome: Expected coherence declines from K=0.30 to K=0.22. No scenario improves aggregate welfare.</w:t>
                  </w:r>
                </w:p>
              </w:tc>
            </w:tr>
          </w:tbl>
          <w:p>
            <w:pPr>
              <w:spacing w:before="140"/>
            </w:pPr>
            <w:r>
              <w:rPr>
                <w:b/>
                <w:bCs/>
                <w:color w:val="1a365d"/>
                <w:sz w:val="22"/>
                <w:szCs w:val="22"/>
              </w:rPr>
              <w:t xml:space="preserve">ANALYSIS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0"/>
                <w:szCs w:val="20"/>
              </w:rPr>
              <w:t xml:space="preserve">Baseline (T₀): </w:t>
            </w:r>
            <w:r>
              <w:rPr>
                <w:sz w:val="20"/>
                <w:szCs w:val="20"/>
              </w:rPr>
              <w:t xml:space="preserve">K = 0.30 – Fragile authoritarian equilibrium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0"/>
                <w:szCs w:val="20"/>
              </w:rPr>
              <w:t xml:space="preserve">Shock (T₁): </w:t>
            </w:r>
            <w:r>
              <w:rPr>
                <w:sz w:val="20"/>
                <w:szCs w:val="20"/>
              </w:rPr>
              <w:t xml:space="preserve">K → 0.13 – Near-collapse across all Ψ-dimensions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0"/>
                <w:szCs w:val="20"/>
              </w:rPr>
              <w:t xml:space="preserve">Expected (T₂): </w:t>
            </w:r>
            <w:r>
              <w:rPr>
                <w:sz w:val="20"/>
                <w:szCs w:val="20"/>
              </w:rPr>
              <w:t xml:space="preserve">E[K] = 0.25 – Below pre-intervention baseline</w:t>
            </w:r>
          </w:p>
          <w:p>
            <w:pPr>
              <w:spacing w:before="140"/>
            </w:pPr>
            <w:r>
              <w:rPr>
                <w:b/>
                <w:bCs/>
                <w:color w:val="1a365d"/>
                <w:sz w:val="22"/>
                <w:szCs w:val="22"/>
              </w:rPr>
              <w:t xml:space="preserve">SCENARIOS (+3 MONTHS)</w:t>
            </w: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1200"/>
              <w:gridCol w:w="1200"/>
            </w:tblGrid>
            <w:tr>
              <w:tc>
                <w:tcPr>
                  <w:tcW w:type="dxa" w:w="24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  <w:shd w:fill="EDF2F7" w:val="clear"/>
                </w:tcPr>
                <w:p>
                  <w:r>
                    <w:rPr>
                      <w:b/>
                      <w:bCs/>
                      <w:sz w:val="18"/>
                      <w:szCs w:val="18"/>
                    </w:rPr>
                    <w:t xml:space="preserve">Scenario</w:t>
                  </w:r>
                </w:p>
              </w:tc>
              <w:tc>
                <w:tcPr>
                  <w:tcW w:type="dxa" w:w="12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  <w:shd w:fill="EDF2F7" w:val="clear"/>
                </w:tcPr>
                <w:p>
                  <w:r>
                    <w:rPr>
                      <w:b/>
                      <w:bCs/>
                      <w:sz w:val="18"/>
                      <w:szCs w:val="18"/>
                    </w:rPr>
                    <w:t xml:space="preserve">Prob.</w:t>
                  </w:r>
                </w:p>
              </w:tc>
              <w:tc>
                <w:tcPr>
                  <w:tcW w:type="dxa" w:w="12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  <w:shd w:fill="EDF2F7" w:val="clear"/>
                </w:tcPr>
                <w:p>
                  <w:r>
                    <w:rPr>
                      <w:b/>
                      <w:bCs/>
                      <w:sz w:val="18"/>
                      <w:szCs w:val="18"/>
                    </w:rPr>
                    <w:t xml:space="preserve">K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</w:tcPr>
                <w:p>
                  <w:r>
                    <w:rPr>
                      <w:sz w:val="18"/>
                      <w:szCs w:val="18"/>
                    </w:rPr>
                    <w:t xml:space="preserve">A: Stabilization</w:t>
                  </w:r>
                </w:p>
              </w:tc>
              <w:tc>
                <w:tcPr>
                  <w:tcW w:type="dxa" w:w="12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</w:tcPr>
                <w:p>
                  <w:r>
                    <w:rPr>
                      <w:sz w:val="18"/>
                      <w:szCs w:val="18"/>
                    </w:rPr>
                    <w:t xml:space="preserve">30%</w:t>
                  </w:r>
                </w:p>
              </w:tc>
              <w:tc>
                <w:tcPr>
                  <w:tcW w:type="dxa" w:w="12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  <w:shd w:fill="dcfce7" w:val="clear"/>
                </w:tcPr>
                <w:p>
                  <w:r>
                    <w:rPr>
                      <w:color w:val="166534"/>
                      <w:sz w:val="18"/>
                      <w:szCs w:val="18"/>
                    </w:rPr>
                    <w:t xml:space="preserve">0.38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</w:tcPr>
                <w:p>
                  <w:r>
                    <w:rPr>
                      <w:sz w:val="18"/>
                      <w:szCs w:val="18"/>
                    </w:rPr>
                    <w:t xml:space="preserve">B: Occupation</w:t>
                  </w:r>
                </w:p>
              </w:tc>
              <w:tc>
                <w:tcPr>
                  <w:tcW w:type="dxa" w:w="12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</w:tcPr>
                <w:p>
                  <w:r>
                    <w:rPr>
                      <w:b/>
                      <w:bCs/>
                      <w:sz w:val="18"/>
                      <w:szCs w:val="18"/>
                    </w:rPr>
                    <w:t xml:space="preserve">50%</w:t>
                  </w:r>
                </w:p>
              </w:tc>
              <w:tc>
                <w:tcPr>
                  <w:tcW w:type="dxa" w:w="12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  <w:shd w:fill="fef9c3" w:val="clear"/>
                </w:tcPr>
                <w:p>
                  <w:r>
                    <w:rPr>
                      <w:color w:val="854d0e"/>
                      <w:sz w:val="18"/>
                      <w:szCs w:val="18"/>
                    </w:rPr>
                    <w:t xml:space="preserve">0.24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</w:tcPr>
                <w:p>
                  <w:r>
                    <w:rPr>
                      <w:sz w:val="18"/>
                      <w:szCs w:val="18"/>
                    </w:rPr>
                    <w:t xml:space="preserve">C: Collapse</w:t>
                  </w:r>
                </w:p>
              </w:tc>
              <w:tc>
                <w:tcPr>
                  <w:tcW w:type="dxa" w:w="12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</w:tcPr>
                <w:p>
                  <w:r>
                    <w:rPr>
                      <w:sz w:val="18"/>
                      <w:szCs w:val="18"/>
                    </w:rPr>
                    <w:t xml:space="preserve">20%</w:t>
                  </w:r>
                </w:p>
              </w:tc>
              <w:tc>
                <w:tcPr>
                  <w:tcW w:type="dxa" w:w="12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  <w:shd w:fill="fee2e2" w:val="clear"/>
                </w:tcPr>
                <w:p>
                  <w:r>
                    <w:rPr>
                      <w:color w:val="991b1b"/>
                      <w:sz w:val="18"/>
                      <w:szCs w:val="18"/>
                    </w:rPr>
                    <w:t xml:space="preserve">0.09</w:t>
                  </w:r>
                </w:p>
              </w:tc>
            </w:tr>
          </w:tbl>
          <w:p>
            <w:pPr>
              <w:spacing w:before="140"/>
            </w:pPr>
            <w:r>
              <w:rPr>
                <w:b/>
                <w:bCs/>
                <w:color w:val="1a365d"/>
                <w:sz w:val="22"/>
                <w:szCs w:val="22"/>
              </w:rPr>
              <w:t xml:space="preserve">EXPECTED COSTS (Prob.-Weighted)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0"/>
                <w:szCs w:val="20"/>
              </w:rPr>
              <w:t xml:space="preserve">US financial: </w:t>
            </w:r>
            <w:r>
              <w:rPr>
                <w:sz w:val="20"/>
                <w:szCs w:val="20"/>
              </w:rPr>
              <w:t xml:space="preserve">$375 billion (5-year)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0"/>
                <w:szCs w:val="20"/>
              </w:rPr>
              <w:t xml:space="preserve">Human cost: </w:t>
            </w:r>
            <w:r>
              <w:rPr>
                <w:sz w:val="20"/>
                <w:szCs w:val="20"/>
              </w:rPr>
              <w:t xml:space="preserve">~66,000 deaths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0"/>
                <w:szCs w:val="20"/>
              </w:rPr>
              <w:t xml:space="preserve">Refugees: </w:t>
            </w:r>
            <w:r>
              <w:rPr>
                <w:sz w:val="20"/>
                <w:szCs w:val="20"/>
              </w:rPr>
              <w:t xml:space="preserve">~2.1 million additional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60"/>
              <w:ind w:left="200"/>
            </w:pPr>
            <w:r>
              <w:rPr>
                <w:b/>
                <w:bCs/>
                <w:color w:val="1a365d"/>
                <w:sz w:val="22"/>
                <w:szCs w:val="22"/>
              </w:rPr>
              <w:t xml:space="preserve">STAKEHOLDER IMPACT</w:t>
            </w:r>
          </w:p>
          <w:p>
            <w:pPr>
              <w:pStyle w:val="ListParagraph"/>
              <w:numPr>
                <w:ilvl w:val="0"/>
                <w:numId w:val="2"/>
              </w:numPr>
              <w:ind w:left="200"/>
            </w:pPr>
            <w:r>
              <w:rPr>
                <w:b/>
                <w:bCs/>
                <w:sz w:val="20"/>
                <w:szCs w:val="20"/>
              </w:rPr>
              <w:t xml:space="preserve">USA: </w:t>
            </w:r>
            <w:r>
              <w:rPr>
                <w:sz w:val="20"/>
                <w:szCs w:val="20"/>
              </w:rPr>
              <w:t xml:space="preserve">Net negative; soft power loss, quagmire risk</w:t>
            </w:r>
          </w:p>
          <w:p>
            <w:pPr>
              <w:pStyle w:val="ListParagraph"/>
              <w:numPr>
                <w:ilvl w:val="0"/>
                <w:numId w:val="2"/>
              </w:numPr>
              <w:ind w:left="200"/>
            </w:pPr>
            <w:r>
              <w:rPr>
                <w:b/>
                <w:bCs/>
                <w:sz w:val="20"/>
                <w:szCs w:val="20"/>
              </w:rPr>
              <w:t xml:space="preserve">Venezuela: </w:t>
            </w:r>
            <w:r>
              <w:rPr>
                <w:sz w:val="20"/>
                <w:szCs w:val="20"/>
              </w:rPr>
              <w:t xml:space="preserve">Population worse off in all scenarios</w:t>
            </w:r>
          </w:p>
          <w:p>
            <w:pPr>
              <w:pStyle w:val="ListParagraph"/>
              <w:numPr>
                <w:ilvl w:val="0"/>
                <w:numId w:val="2"/>
              </w:numPr>
              <w:ind w:left="200"/>
            </w:pPr>
            <w:r>
              <w:rPr>
                <w:b/>
                <w:bCs/>
                <w:sz w:val="20"/>
                <w:szCs w:val="20"/>
              </w:rPr>
              <w:t xml:space="preserve">Russia/China: </w:t>
            </w:r>
            <w:r>
              <w:rPr>
                <w:sz w:val="20"/>
                <w:szCs w:val="20"/>
              </w:rPr>
              <w:t xml:space="preserve">Strategic gain; precedent validated</w:t>
            </w:r>
          </w:p>
          <w:p>
            <w:pPr>
              <w:pStyle w:val="ListParagraph"/>
              <w:numPr>
                <w:ilvl w:val="0"/>
                <w:numId w:val="2"/>
              </w:numPr>
              <w:ind w:left="200"/>
            </w:pPr>
            <w:r>
              <w:rPr>
                <w:b/>
                <w:bCs/>
                <w:sz w:val="20"/>
                <w:szCs w:val="20"/>
              </w:rPr>
              <w:t xml:space="preserve">LatAm: </w:t>
            </w:r>
            <w:r>
              <w:rPr>
                <w:sz w:val="20"/>
                <w:szCs w:val="20"/>
              </w:rPr>
              <w:t xml:space="preserve">Unified opposition; BRICS shift accelerates</w:t>
            </w:r>
          </w:p>
          <w:p>
            <w:pPr>
              <w:spacing w:before="140"/>
              <w:ind w:left="200"/>
            </w:pPr>
            <w:r>
              <w:rPr>
                <w:b/>
                <w:bCs/>
                <w:color w:val="1a365d"/>
                <w:sz w:val="22"/>
                <w:szCs w:val="22"/>
              </w:rPr>
              <w:t xml:space="preserve">KEY RISKS</w:t>
            </w:r>
          </w:p>
          <w:p>
            <w:pPr>
              <w:pStyle w:val="ListParagraph"/>
              <w:numPr>
                <w:ilvl w:val="0"/>
                <w:numId w:val="2"/>
              </w:numPr>
              <w:ind w:left="200"/>
            </w:pPr>
            <w:r>
              <w:rPr>
                <w:sz w:val="20"/>
                <w:szCs w:val="20"/>
              </w:rPr>
              <w:t xml:space="preserve">Legitimacy-Resistance Spiral (unbreakable)</w:t>
            </w:r>
          </w:p>
          <w:p>
            <w:pPr>
              <w:pStyle w:val="ListParagraph"/>
              <w:numPr>
                <w:ilvl w:val="0"/>
                <w:numId w:val="2"/>
              </w:numPr>
              <w:ind w:left="200"/>
            </w:pPr>
            <w:r>
              <w:rPr>
                <w:sz w:val="20"/>
                <w:szCs w:val="20"/>
              </w:rPr>
              <w:t xml:space="preserve">Temporal mismatch: 2-yr political vs 10-yr stabilization</w:t>
            </w:r>
          </w:p>
          <w:p>
            <w:pPr>
              <w:pStyle w:val="ListParagraph"/>
              <w:numPr>
                <w:ilvl w:val="0"/>
                <w:numId w:val="2"/>
              </w:numPr>
              <w:ind w:left="200"/>
            </w:pPr>
            <w:r>
              <w:rPr>
                <w:sz w:val="20"/>
                <w:szCs w:val="20"/>
              </w:rPr>
              <w:t xml:space="preserve">Regional contagion to Colombia/Brazil</w:t>
            </w:r>
          </w:p>
          <w:p>
            <w:pPr>
              <w:pStyle w:val="ListParagraph"/>
              <w:numPr>
                <w:ilvl w:val="0"/>
                <w:numId w:val="2"/>
              </w:numPr>
              <w:ind w:left="200"/>
            </w:pPr>
            <w:r>
              <w:rPr>
                <w:sz w:val="20"/>
                <w:szCs w:val="20"/>
              </w:rPr>
              <w:t xml:space="preserve">Global order erosion; Taiwan precedent</w:t>
            </w:r>
          </w:p>
          <w:p>
            <w:pPr>
              <w:spacing w:before="120"/>
              <w:ind w:left="200"/>
            </w:pPr>
            <w:r>
              <w:rPr>
                <w:b/>
                <w:bCs/>
                <w:color w:val="1a365d"/>
                <w:sz w:val="22"/>
                <w:szCs w:val="22"/>
              </w:rPr>
              <w:t xml:space="preserve">CORE INSIGHT</w:t>
            </w:r>
          </w:p>
          <w:p>
            <w:pPr>
              <w:shd w:fill="f3f4f6" w:val="clear"/>
              <w:ind w:left="200"/>
            </w:pPr>
            <w:r>
              <w:rPr>
                <w:i/>
                <w:iCs/>
                <w:sz w:val="20"/>
                <w:szCs w:val="20"/>
              </w:rPr>
              <w:t xml:space="preserve">External actors can destroy coherence rapidly but cannot construct it. Sustainable K requires endogenous Ψ_L and Ψ_S.</w:t>
            </w:r>
          </w:p>
          <w:p>
            <w:pPr>
              <w:spacing w:before="120"/>
              <w:ind w:left="200"/>
            </w:pP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single" w:color="991b1b" w:sz="3"/>
                    <w:left w:val="single" w:color="991b1b" w:sz="3"/>
                    <w:bottom w:val="single" w:color="991b1b" w:sz="3"/>
                    <w:right w:val="single" w:color="991b1b" w:sz="3"/>
                  </w:tcBorders>
                  <w:shd w:fill="fef2f2" w:val="clear"/>
                </w:tcPr>
                <w:p>
                  <w:pPr>
                    <w:spacing w:before="80"/>
                  </w:pPr>
                  <w:r>
                    <w:rPr>
                      <w:b/>
                      <w:bCs/>
                      <w:color w:val="991b1b"/>
                      <w:sz w:val="22"/>
                      <w:szCs w:val="22"/>
                    </w:rPr>
                    <w:t xml:space="preserve">RECOMMENDATION</w:t>
                  </w:r>
                </w:p>
                <w:p>
                  <w:pPr>
                    <w:spacing w:after="80"/>
                  </w:pPr>
                  <w:r>
                    <w:rPr>
                      <w:b/>
                      <w:bCs/>
                      <w:color w:val="991b1b"/>
                      <w:sz w:val="20"/>
                      <w:szCs w:val="20"/>
                    </w:rPr>
                    <w:t xml:space="preserve">DO NOT PROCEED. Expected costs exceed benefits in all scenarios. Pursue strategic patience + targeted pressure.</w:t>
                  </w:r>
                </w:p>
              </w:tc>
            </w:tr>
          </w:tbl>
          <w:p>
            <w:pPr>
              <w:spacing w:before="120"/>
              <w:ind w:left="200"/>
            </w:pPr>
            <w:r>
              <w:rPr>
                <w:b/>
                <w:bCs/>
                <w:color w:val="1a365d"/>
                <w:sz w:val="22"/>
                <w:szCs w:val="22"/>
              </w:rPr>
              <w:t xml:space="preserve">ALTERNATIVES</w:t>
            </w:r>
          </w:p>
          <w:p>
            <w:pPr>
              <w:ind w:left="20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Strategic patience (internal change)</w:t>
            </w:r>
          </w:p>
          <w:p>
            <w:pPr>
              <w:ind w:left="20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 xml:space="preserve">Targeted sanctions + civil society support</w:t>
            </w:r>
          </w:p>
          <w:p>
            <w:pPr>
              <w:ind w:left="20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 xml:space="preserve">Regional coalition (if any intervention)</w:t>
            </w:r>
          </w:p>
          <w:p>
            <w:pPr>
              <w:spacing w:before="120"/>
              <w:ind w:left="200"/>
            </w:pPr>
            <w:r>
              <w:rPr>
                <w:b/>
                <w:bCs/>
                <w:color w:val="4B5563"/>
                <w:sz w:val="18"/>
                <w:szCs w:val="18"/>
              </w:rPr>
              <w:t xml:space="preserve">Contact: </w:t>
            </w:r>
            <w:r>
              <w:rPr>
                <w:color w:val="4B5563"/>
                <w:sz w:val="18"/>
                <w:szCs w:val="18"/>
              </w:rPr>
              <w:t xml:space="preserve">FehrAdvice Behavioral Economics Unit</w:t>
            </w:r>
          </w:p>
        </w:tc>
      </w:tr>
    </w:tbl>
    <w:p>
      <w:pPr>
        <w:pBdr>
          <w:bottom w:val="single" w:color="1a365d" w:sz="8"/>
        </w:pBdr>
        <w:spacing w:before="80"/>
      </w:pP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6"/>
        <w:szCs w:val="16"/>
      </w:rPr>
      <w:t xml:space="preserve">FehrAdvice &amp; Partners AG | 4 January 2026 | Ψ-Framework Analysis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991b1b"/>
        <w:sz w:val="16"/>
        <w:szCs w:val="16"/>
      </w:rPr>
      <w:t xml:space="preserve">CONFIDENTIAL – POLICY SENSITIVE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80"/>
      <w:outlineLvl w:val="0"/>
    </w:pPr>
    <w:rPr>
      <w:rFonts w:ascii="Arial" w:cs="Arial" w:eastAsia="Arial" w:hAnsi="Arial"/>
      <w:b/>
      <w:bCs/>
      <w:color w:val="1a365d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Arial" w:cs="Arial" w:eastAsia="Arial" w:hAnsi="Arial"/>
      <w:b/>
      <w:bCs/>
      <w:color w:val="2c52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2026-01-04T09:01:36.226Z</dcterms:created>
  <dcterms:modified xsi:type="dcterms:W3CDTF">2026-01-04T09:01:36.227Z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