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Evidence-Based Framework for Economic and Social Behavior (EBF)</w:t>
      </w:r>
    </w:p>
    <w:p>
      <w:pPr>
        <w:pStyle w:val="Subtitle"/>
      </w:pPr>
      <w:r>
        <w:t xml:space="preserve">Comprehensive Framework Report</w:t>
      </w:r>
    </w:p>
    <w:p>
      <w:pPr>
        <w:pStyle w:val="Author"/>
      </w:pPr>
      <w:r>
        <w:t xml:space="preserve">FehrAdvice &amp; Partners AG | Prof. Ernst Fehr</w:t>
      </w:r>
    </w:p>
    <w:p>
      <w:pPr>
        <w:pStyle w:val="Date"/>
      </w:pPr>
      <w:r>
        <w:t xml:space="preserve">Februar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0" w:name="X1a270c87f19d5dda0bbe436b9b1f6d236ed6cb9"/>
    <w:p>
      <w:pPr>
        <w:pStyle w:val="Heading1"/>
      </w:pPr>
      <w:r>
        <w:t xml:space="preserve">Evidence-Based Framework for Economic and Social Behavior (EBF)</w:t>
      </w:r>
    </w:p>
    <w:bookmarkStart w:id="20" w:name="comprehensive-framework-report"/>
    <w:p>
      <w:pPr>
        <w:pStyle w:val="Heading2"/>
      </w:pPr>
      <w:r>
        <w:t xml:space="preserve">Comprehensive Framework Report</w:t>
      </w:r>
    </w:p>
    <w:p>
      <w:pPr>
        <w:pStyle w:val="FirstParagraph"/>
      </w:pPr>
      <w:r>
        <w:rPr>
          <w:bCs/>
          <w:b/>
        </w:rPr>
        <w:t xml:space="preserve">FehrAdvice &amp; Partners AG | Prof. Ernst Fehr</w:t>
      </w:r>
    </w:p>
    <w:p>
      <w:pPr>
        <w:pStyle w:val="BodyText"/>
      </w:pPr>
      <w:r>
        <w:rPr>
          <w:iCs/>
          <w:i/>
        </w:rPr>
        <w:t xml:space="preserve">Version 1.0 — Februar 2026</w:t>
      </w:r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Das</w:t>
      </w:r>
      <w:r>
        <w:t xml:space="preserve"> </w:t>
      </w:r>
      <w:r>
        <w:rPr>
          <w:bCs/>
          <w:b/>
        </w:rPr>
        <w:t xml:space="preserve">Evidence-Based Framework for Economic and Social Behavior (EBF)</w:t>
      </w:r>
      <w:r>
        <w:t xml:space="preserve"> </w:t>
      </w:r>
      <w:r>
        <w:t xml:space="preserve">ist ein integratives wissenschaftliches Framework, das über 50 Jahre verhaltensökonomische Forschung in ein einheitliches, berechenbares System überführt. Es verbindet die Arbeiten von Kahneman &amp; Tversky (Prospect Theory), Thaler (Nudging), Fehr (Soziale Präferenzen) und Sunstein (Choice Architecture) zu einem kohärenten Ganzen.</w:t>
      </w:r>
    </w:p>
    <w:p>
      <w:pPr>
        <w:pStyle w:val="BodyText"/>
      </w:pPr>
      <w:r>
        <w:rPr>
          <w:bCs/>
          <w:b/>
        </w:rPr>
        <w:t xml:space="preserve">Das EBF ist kein Chatbot.</w:t>
      </w:r>
      <w:r>
        <w:t xml:space="preserve"> </w:t>
      </w:r>
      <w:r>
        <w:t xml:space="preserve">Es ist ein evidenzbasiertes Analysesystem, das zeigt,</w:t>
      </w:r>
      <w:r>
        <w:t xml:space="preserve"> </w:t>
      </w:r>
      <w:r>
        <w:rPr>
          <w:iCs/>
          <w:i/>
        </w:rPr>
        <w:t xml:space="preserve">warum</w:t>
      </w:r>
      <w:r>
        <w:t xml:space="preserve"> </w:t>
      </w:r>
      <w:r>
        <w:t xml:space="preserve">Menschen handeln — und wie man dieses Verhalten systematisch und ethisch beeinflussen kann.</w:t>
      </w:r>
    </w:p>
    <w:bookmarkStart w:id="21" w:name="kerninnovation"/>
    <w:p>
      <w:pPr>
        <w:pStyle w:val="Heading3"/>
      </w:pPr>
      <w:r>
        <w:t xml:space="preserve">Kerninnovation</w:t>
      </w:r>
    </w:p>
    <w:p>
      <w:pPr>
        <w:pStyle w:val="FirstParagraph"/>
      </w:pPr>
      <w:r>
        <w:t xml:space="preserve">Die zentrale Erkenntnis des EBF lautet:</w:t>
      </w:r>
    </w:p>
    <w:p>
      <w:pPr>
        <w:pStyle w:val="BlockText"/>
      </w:pPr>
      <w:r>
        <w:rPr>
          <w:bCs/>
          <w:b/>
        </w:rPr>
        <w:t xml:space="preserve">Dieselbe Frage + anderer Kontext = komplett andere Antwort.</w:t>
      </w:r>
    </w:p>
    <w:p>
      <w:pPr>
        <w:pStyle w:val="FirstParagraph"/>
      </w:pPr>
      <w:r>
        <w:t xml:space="preserve">Traditionelle Verhaltensökonomie behandelt Parameter wie Loss Aversion (λ = 2.25) als universelle Konstanten. Das EBF zeigt: Diese Parameter sind</w:t>
      </w:r>
      <w:r>
        <w:t xml:space="preserve"> </w:t>
      </w:r>
      <w:r>
        <w:rPr>
          <w:iCs/>
          <w:i/>
        </w:rPr>
        <w:t xml:space="preserve">Funktionen des Kontexts</w:t>
      </w:r>
      <w:r>
        <w:t xml:space="preserve">. Loss Aversion im Wohlfahrtskontext mit Stigma beträgt λ ≈ 2.5, am Arbeitsplatz mit Kolleg:innen nur λ ≈ 1.8.</w:t>
      </w:r>
      <w:r>
        <w:t xml:space="preserve"> </w:t>
      </w:r>
      <w:r>
        <w:rPr>
          <w:bCs/>
          <w:b/>
        </w:rPr>
        <w:t xml:space="preserve">Die Variation ist nicht Noise — sie ist das Signal.</w:t>
      </w:r>
    </w:p>
    <w:bookmarkEnd w:id="21"/>
    <w:bookmarkStart w:id="22" w:name="zahlen-auf-einen-blick"/>
    <w:p>
      <w:pPr>
        <w:pStyle w:val="Heading3"/>
      </w:pPr>
      <w:r>
        <w:t xml:space="preserve">Zahlen auf einen Blick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Wissenschaftliche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2’472 (kuratiert, indexiert)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Verhaltensökonomische Theorien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 in 27 Kategorien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Praxisfälle (Case Registry)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936 dokumentierte Fälle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Verhaltensparameter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140+ mit Konfidenzintervallen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Validierte Modelle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(10C-spezifiziert)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Kontext-Faktoren (BCM2)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404+ für CH/AT/DE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 Unternehmensprofile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Python-Automatisierung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 Skripte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LaTeX-Appendices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 in 8 Kategorien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einleitung-warum-ebf"/>
    <w:p>
      <w:pPr>
        <w:pStyle w:val="Heading2"/>
      </w:pPr>
      <w:r>
        <w:t xml:space="preserve">1. Einleitung: Warum EBF?</w:t>
      </w:r>
    </w:p>
    <w:bookmarkStart w:id="24" w:name="das-problem"/>
    <w:p>
      <w:pPr>
        <w:pStyle w:val="Heading3"/>
      </w:pPr>
      <w:r>
        <w:t xml:space="preserve">1.1 Das Problem</w:t>
      </w:r>
    </w:p>
    <w:p>
      <w:pPr>
        <w:pStyle w:val="FirstParagraph"/>
      </w:pPr>
      <w:r>
        <w:t xml:space="preserve">Verhaltensökonomische Erkenntnisse sind heute weit verbreitet. Doch ihre Anwendung scheitert häufig an drei fundamentalen Problemen: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Kontextblindheit:</w:t>
      </w:r>
      <w:r>
        <w:t xml:space="preserve"> </w:t>
      </w:r>
      <w:r>
        <w:t xml:space="preserve">Erkenntnisse aus dem Labor werden 1:1 auf die Praxis übertragen — ohne Berücksichtigung des Kontexts.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Fragmentierung:</w:t>
      </w:r>
      <w:r>
        <w:t xml:space="preserve"> </w:t>
      </w:r>
      <w:r>
        <w:t xml:space="preserve">50+ Jahre Forschung existieren als isolierte Theorien ohne systematische Verbindung.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Halluzinationsgefahr:</w:t>
      </w:r>
      <w:r>
        <w:t xml:space="preserve"> </w:t>
      </w:r>
      <w:r>
        <w:t xml:space="preserve">KI-Systeme «erinnern» sich an Parameterwerte aus ihrem Training, statt sie zu berechnen.</w:t>
      </w:r>
    </w:p>
    <w:bookmarkEnd w:id="24"/>
    <w:bookmarkStart w:id="25" w:name="die-lösung"/>
    <w:p>
      <w:pPr>
        <w:pStyle w:val="Heading3"/>
      </w:pPr>
      <w:r>
        <w:t xml:space="preserve">1.2 Die Lösung</w:t>
      </w:r>
    </w:p>
    <w:p>
      <w:pPr>
        <w:pStyle w:val="FirstParagraph"/>
      </w:pPr>
      <w:r>
        <w:t xml:space="preserve">Das EBF adressiert alle drei Probleme: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Kontext-First-Methodik:</w:t>
      </w:r>
      <w:r>
        <w:t xml:space="preserve"> </w:t>
      </w:r>
      <w:r>
        <w:t xml:space="preserve">Jeder Parameter wird als Funktion des Kontexts behandelt (θ = f(Ψ, 10C)).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Integratives Framework:</w:t>
      </w:r>
      <w:r>
        <w:t xml:space="preserve"> </w:t>
      </w:r>
      <w:r>
        <w:t xml:space="preserve">212 Theorien, 2’472 Papers und 936 Cases in einer kohärenten Architektur.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Three-Layer Architecture:</w:t>
      </w:r>
      <w:r>
        <w:t xml:space="preserve"> </w:t>
      </w:r>
      <w:r>
        <w:t xml:space="preserve">Deterministische Berechnung (Layer 1) statt LLM-Halluzination (Layer 3).</w:t>
      </w:r>
    </w:p>
    <w:bookmarkEnd w:id="25"/>
    <w:bookmarkStart w:id="26" w:name="wer-steht-dahinter"/>
    <w:p>
      <w:pPr>
        <w:pStyle w:val="Heading3"/>
      </w:pPr>
      <w:r>
        <w:t xml:space="preserve">1.3 Wer steht dahinter?</w:t>
      </w:r>
    </w:p>
    <w:p>
      <w:pPr>
        <w:pStyle w:val="FirstParagraph"/>
      </w:pPr>
      <w:r>
        <w:t xml:space="preserve">Das EBF wurde von</w:t>
      </w:r>
      <w:r>
        <w:t xml:space="preserve"> </w:t>
      </w:r>
      <w:r>
        <w:rPr>
          <w:bCs/>
          <w:b/>
        </w:rPr>
        <w:t xml:space="preserve">FehrAdvice &amp; Partners AG</w:t>
      </w:r>
      <w:r>
        <w:t xml:space="preserve"> </w:t>
      </w:r>
      <w:r>
        <w:t xml:space="preserve">in Zusammenarbeit mit dem wissenschaftlichen Team um</w:t>
      </w:r>
      <w:r>
        <w:t xml:space="preserve"> </w:t>
      </w:r>
      <w:r>
        <w:rPr>
          <w:bCs/>
          <w:b/>
        </w:rPr>
        <w:t xml:space="preserve">Prof. Ernst Fehr</w:t>
      </w:r>
      <w:r>
        <w:t xml:space="preserve"> </w:t>
      </w:r>
      <w:r>
        <w:t xml:space="preserve">(Universität Zürich) entwickelt. Es baut auf der Grundlagenforschung der führenden Verhaltensökonomen auf und erweitert diese um eine systematische Kontext- und Komplementaritätstheorie.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das-10c-core-framework"/>
    <w:p>
      <w:pPr>
        <w:pStyle w:val="Heading2"/>
      </w:pPr>
      <w:r>
        <w:t xml:space="preserve">2. Das 10C CORE Framework</w:t>
      </w:r>
    </w:p>
    <w:bookmarkStart w:id="28" w:name="überblick"/>
    <w:p>
      <w:pPr>
        <w:pStyle w:val="Heading3"/>
      </w:pPr>
      <w:r>
        <w:t xml:space="preserve">2.1 Überblick</w:t>
      </w:r>
    </w:p>
    <w:p>
      <w:pPr>
        <w:pStyle w:val="FirstParagraph"/>
      </w:pPr>
      <w:r>
        <w:t xml:space="preserve">Das Herzstück des EBF ist das</w:t>
      </w:r>
      <w:r>
        <w:t xml:space="preserve"> </w:t>
      </w:r>
      <w:r>
        <w:rPr>
          <w:bCs/>
          <w:b/>
        </w:rPr>
        <w:t xml:space="preserve">10C CORE Framework</w:t>
      </w:r>
      <w:r>
        <w:t xml:space="preserve"> </w:t>
      </w:r>
      <w:r>
        <w:t xml:space="preserve">— zehn interdependente Dimensionen, die menschliches Verhalten vollständig beschreiben: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0"/>
        <w:gridCol w:w="1320"/>
        <w:gridCol w:w="1320"/>
        <w:gridCol w:w="242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 hat Utility?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Welfare-Levels L (Individual → Gesellschaft)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ist Utility?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FEPSDE-Dimensionen (Financial, Emotional, Physical, Social, Development, Ecological)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interagieren die Dimensionen?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Komplementarität 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zählt Kontext?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Ψ-Dimensionen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Woher kommen die Zahlen?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Θ aus Literatur/Empirie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bewusst ist die Person?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A(·) ∈ [0,1]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die Person handlungsbereit?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Willingness W_AX ≥ 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in der Verhaltensreise?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 Change Journey φ(t)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stratifizieren Entscheidungen?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Levels L0–L3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emergieren Interventionen?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Interventionsvektor I⃗ ∈ [0,1]⁹</w:t>
            </w:r>
          </w:p>
        </w:tc>
      </w:tr>
    </w:tbl>
    <w:bookmarkEnd w:id="28"/>
    <w:bookmarkStart w:id="29" w:name="fepsde-die-sechs-utility-dimensionen"/>
    <w:p>
      <w:pPr>
        <w:pStyle w:val="Heading3"/>
      </w:pPr>
      <w:r>
        <w:t xml:space="preserve">2.2 FEPSDE: Die sechs Utility-Dimensionen</w:t>
      </w:r>
    </w:p>
    <w:p>
      <w:pPr>
        <w:pStyle w:val="FirstParagraph"/>
      </w:pPr>
      <w:r>
        <w:t xml:space="preserve">Menschliches Wohlbefinden (Utility) ist nicht eindimensional. Das EBF unterscheidet sechs fundamentale Dimensionen: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 — Financial:</w:t>
      </w:r>
      <w:r>
        <w:t xml:space="preserve"> </w:t>
      </w:r>
      <w:r>
        <w:t xml:space="preserve">Monetäre Anreize, Einkommen, Kosten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 — Emotional:</w:t>
      </w:r>
      <w:r>
        <w:t xml:space="preserve"> </w:t>
      </w:r>
      <w:r>
        <w:t xml:space="preserve">Gefühle, Zufriedenheit, Stress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 — Physical:</w:t>
      </w:r>
      <w:r>
        <w:t xml:space="preserve"> </w:t>
      </w:r>
      <w:r>
        <w:t xml:space="preserve">Körperliche Gesundheit, Anstrengung, Komfort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 — Social:</w:t>
      </w:r>
      <w:r>
        <w:t xml:space="preserve"> </w:t>
      </w:r>
      <w:r>
        <w:t xml:space="preserve">Soziale Anerkennung, Normen, Zugehörigkeit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 — Development:</w:t>
      </w:r>
      <w:r>
        <w:t xml:space="preserve"> </w:t>
      </w:r>
      <w:r>
        <w:t xml:space="preserve">Persönliche Entwicklung, Lernen, Kompetenz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 — Ecological:</w:t>
      </w:r>
      <w:r>
        <w:t xml:space="preserve"> </w:t>
      </w:r>
      <w:r>
        <w:t xml:space="preserve">Umwelt, Nachhaltigkeit, Generationengerechtigkeit</w:t>
      </w:r>
    </w:p>
    <w:bookmarkEnd w:id="29"/>
    <w:bookmarkStart w:id="30" w:name="komplementarität-warum-1-1-2"/>
    <w:p>
      <w:pPr>
        <w:pStyle w:val="Heading3"/>
      </w:pPr>
      <w:r>
        <w:t xml:space="preserve">2.3 Komplementarität: Warum 1 + 1 ≠ 2</w:t>
      </w:r>
    </w:p>
    <w:p>
      <w:pPr>
        <w:pStyle w:val="FirstParagraph"/>
      </w:pPr>
      <w:r>
        <w:t xml:space="preserve">Das EBF modelliert explizit, wie Dimensionen</w:t>
      </w:r>
      <w:r>
        <w:t xml:space="preserve"> </w:t>
      </w:r>
      <w:r>
        <w:rPr>
          <w:iCs/>
          <w:i/>
        </w:rPr>
        <w:t xml:space="preserve">interagieren</w:t>
      </w:r>
      <w:r>
        <w:t xml:space="preserve">. Diese Interaktionen (γ-Koeffizienten) sind empirisch fundiert: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74"/>
        <w:gridCol w:w="1584"/>
        <w:gridCol w:w="217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γ-Wert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× 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Crowding-Out:</w:t>
            </w:r>
            <w:r>
              <w:t xml:space="preserve"> </w:t>
            </w:r>
            <w:r>
              <w:t xml:space="preserve">Finanzielle Anreize untergraben soziale 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PAR-COMP-002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×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Verstärkung:</w:t>
            </w:r>
            <w:r>
              <w:t xml:space="preserve"> </w:t>
            </w:r>
            <w:r>
              <w:t xml:space="preserve">Identität und soziale Normen verstärken sich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PAR-COMP-001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× Warm Glow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Synergie:</w:t>
            </w:r>
            <w:r>
              <w:t xml:space="preserve"> </w:t>
            </w:r>
            <w:r>
              <w:t xml:space="preserve">Soziale Anerkennung und intrinsische 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PAR-COMP-004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Praxisrelevanz:</w:t>
      </w:r>
      <w:r>
        <w:t xml:space="preserve"> </w:t>
      </w:r>
      <w:r>
        <w:t xml:space="preserve">Wer finanzielle Anreize mit sozialen Normen kombiniert, riskiert Crowding-Out (γ = −0.68). Das EBF warnt systematisch vor solchen Konflikten.</w:t>
      </w:r>
    </w:p>
    <w:bookmarkEnd w:id="30"/>
    <w:bookmarkStart w:id="31" w:name="die-8-ψ-dimensionen-kontext"/>
    <w:p>
      <w:pPr>
        <w:pStyle w:val="Heading3"/>
      </w:pPr>
      <w:r>
        <w:t xml:space="preserve">2.4 Die 8 Ψ-Dimensionen (Kontext)</w:t>
      </w:r>
    </w:p>
    <w:p>
      <w:pPr>
        <w:pStyle w:val="FirstParagraph"/>
      </w:pPr>
      <w:r>
        <w:t xml:space="preserve">Jede Situation wird durch acht Kontext-Dimensionen beschrieben: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Regeln gelten?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vs. Opt-out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Sozial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 ist dabei?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Allein vs. beobachtet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Kognitiv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welchem Zustand?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Ausgeruht vs. erschöpft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Kulturell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Werte?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vs. DE vs. 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Ökonomisch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Ressourcen?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Reich vs. knapp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Wann? Zeitdruck?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Montag früh vs. Freitag spät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Tools?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Papier vs. 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Zuhause vs. Amt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Xedbbd34e4730165d23cf3ea97f03dd20cbaffaf"/>
    <w:p>
      <w:pPr>
        <w:pStyle w:val="Heading2"/>
      </w:pPr>
      <w:r>
        <w:t xml:space="preserve">3. Die zentrale Gleichung: Parameter Context Transformation (PCT)</w:t>
      </w:r>
    </w:p>
    <w:bookmarkStart w:id="33" w:name="das-paradigma"/>
    <w:p>
      <w:pPr>
        <w:pStyle w:val="Heading3"/>
      </w:pPr>
      <w:r>
        <w:t xml:space="preserve">3.1 Das Paradigma</w:t>
      </w:r>
    </w:p>
    <w:p>
      <w:pPr>
        <w:pStyle w:val="FirstParagraph"/>
      </w:pPr>
      <w:r>
        <w:t xml:space="preserve">Das EBF überwindet die traditionelle Annahme fester Parameter: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Konstante (λ = 2.25)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 θ(Ψ, 10C)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Noise, Methodenfehler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Signal, erklärbar durch Kontext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Meta-Analyse (Mittelwert)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Systematische Transformation</w:t>
            </w:r>
          </w:p>
        </w:tc>
      </w:tr>
    </w:tbl>
    <w:bookmarkEnd w:id="33"/>
    <w:bookmarkStart w:id="34" w:name="die-pct-gleichung"/>
    <w:p>
      <w:pPr>
        <w:pStyle w:val="Heading3"/>
      </w:pPr>
      <w:r>
        <w:t xml:space="preserve">3.2 Die PCT-Gleichung</w:t>
      </w:r>
    </w:p>
    <w:p>
      <w:pPr>
        <w:pStyle w:val="SourceCode"/>
      </w:pPr>
      <w:r>
        <w:rPr>
          <w:rStyle w:val="VerbatimChar"/>
        </w:rPr>
        <w:t xml:space="preserve">θ_B = θ_A × ∏ᵢ M(ΔΨᵢ) × ∏ⱼ N(Δ10Cⱼ)</w:t>
      </w:r>
    </w:p>
    <w:p>
      <w:pPr>
        <w:pStyle w:val="FirstParagraph"/>
      </w:pPr>
      <w:r>
        <w:t xml:space="preserve">Dabei gilt: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θ_A</w:t>
      </w:r>
      <w:r>
        <w:t xml:space="preserve"> </w:t>
      </w:r>
      <w:r>
        <w:t xml:space="preserve">= Parameter im Anchor-Kontext (aus der Originalstudie)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θ_B</w:t>
      </w:r>
      <w:r>
        <w:t xml:space="preserve"> </w:t>
      </w:r>
      <w:r>
        <w:t xml:space="preserve">= Parameter im Target-Kontext (Vorhersage für neues Projekt)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ΔΨᵢ</w:t>
      </w:r>
      <w:r>
        <w:t xml:space="preserve"> </w:t>
      </w:r>
      <w:r>
        <w:t xml:space="preserve">= Kontext-Differenz zwischen Anchor und Target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M(·)</w:t>
      </w:r>
      <w:r>
        <w:t xml:space="preserve"> </w:t>
      </w:r>
      <w:r>
        <w:t xml:space="preserve">= Ψ-Multiplikator (aus validierten Tabellen)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N(·)</w:t>
      </w:r>
      <w:r>
        <w:t xml:space="preserve"> </w:t>
      </w:r>
      <w:r>
        <w:t xml:space="preserve">= 10C-Multiplikator</w:t>
      </w:r>
    </w:p>
    <w:bookmarkEnd w:id="34"/>
    <w:bookmarkStart w:id="35" w:name="praktisches-beispiel"/>
    <w:p>
      <w:pPr>
        <w:pStyle w:val="Heading3"/>
      </w:pPr>
      <w:r>
        <w:t xml:space="preserve">3.3 Praktisches Beispiel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t xml:space="preserve">Wie hoch ist die Loss Aversion (λ) für ein Heizungsersatz-Programm in der Schweiz?</w:t>
      </w:r>
    </w:p>
    <w:p>
      <w:pPr>
        <w:pStyle w:val="BodyText"/>
      </w:pPr>
      <w:r>
        <w:rPr>
          <w:bCs/>
          <w:b/>
        </w:rPr>
        <w:t xml:space="preserve">Schritt 1 — Anchor laden:</w:t>
      </w:r>
      <w:r>
        <w:t xml:space="preserve"> </w:t>
      </w:r>
      <w:r>
        <w:t xml:space="preserve">λ_A = 2.5 (gemessen in US-Wohlfahrtsprogramm mit Stigma)</w:t>
      </w:r>
    </w:p>
    <w:p>
      <w:pPr>
        <w:pStyle w:val="BodyText"/>
      </w:pPr>
      <w:r>
        <w:rPr>
          <w:bCs/>
          <w:b/>
        </w:rPr>
        <w:t xml:space="preserve">Schritt 2 — Kontext-Differenzen berechnen: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2"/>
        <w:gridCol w:w="2525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(USA, Welfare)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(CH, Heizung)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Multiplikator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Ψ_S (Sozial)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Stigma 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Stigma 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Ψ_K (Kultur)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Ψ_I (Institutionell)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Freiwillig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Subventioniert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1.10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 3 — Transformieren:</w:t>
      </w:r>
      <w:r>
        <w:t xml:space="preserve"> </w:t>
      </w:r>
      <w:r>
        <w:t xml:space="preserve">λ_B = 2.5 × 0.85 × 0.92 × 1.10 =</w:t>
      </w:r>
      <w:r>
        <w:t xml:space="preserve"> </w:t>
      </w:r>
      <w:r>
        <w:rPr>
          <w:bCs/>
          <w:b/>
        </w:rPr>
        <w:t xml:space="preserve">2.16</w:t>
      </w:r>
    </w:p>
    <w:p>
      <w:pPr>
        <w:pStyle w:val="BodyText"/>
      </w:pPr>
      <w:r>
        <w:rPr>
          <w:bCs/>
          <w:b/>
        </w:rPr>
        <w:t xml:space="preserve">Schritt 4 — Interpretieren:</w:t>
      </w:r>
      <w:r>
        <w:t xml:space="preserve"> </w:t>
      </w:r>
      <w:r>
        <w:t xml:space="preserve">Im Schweizer Heizungsersatz-Kontext ist die Loss Aversion mit λ = 2.16 moderat. Empfehlung: Moderate Defaults mit klarer Kommunikation des Status quo.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three-layer-architecture"/>
    <w:p>
      <w:pPr>
        <w:pStyle w:val="Heading2"/>
      </w:pPr>
      <w:r>
        <w:t xml:space="preserve">4. Three-Layer Architecture</w:t>
      </w:r>
    </w:p>
    <w:bookmarkStart w:id="37" w:name="das-problem-compute-dont-hallucinate"/>
    <w:p>
      <w:pPr>
        <w:pStyle w:val="Heading3"/>
      </w:pPr>
      <w:r>
        <w:t xml:space="preserve">4.1 Das Problem: «Compute, Don’t Hallucinate»</w:t>
      </w:r>
    </w:p>
    <w:p>
      <w:pPr>
        <w:pStyle w:val="FirstParagraph"/>
      </w:pPr>
      <w:r>
        <w:t xml:space="preserve">Large Language Models (LLMs) haben ein fundamentales Problem: Sie «erinnern» sich an Werte aus ihrem Training, statt sie zu berechnen. Ein LLM könnte behaupten, λ = 2.25 — auch wenn der korrekte Wert im aktuellen Kontext λ = 4.58 beträgt.</w:t>
      </w:r>
    </w:p>
    <w:p>
      <w:pPr>
        <w:pStyle w:val="BodyText"/>
      </w:pPr>
      <w:r>
        <w:t xml:space="preserve">Das EBF löst dieses Problem durch eine</w:t>
      </w:r>
      <w:r>
        <w:t xml:space="preserve"> </w:t>
      </w:r>
      <w:r>
        <w:rPr>
          <w:bCs/>
          <w:b/>
        </w:rPr>
        <w:t xml:space="preserve">Three-Layer Architecture (TLA)</w:t>
      </w:r>
      <w:r>
        <w:t xml:space="preserve">, die am 15. Februar 2026 mit 32 PRO-Papers aus 7 Disziplinen validiert wurde.</w:t>
      </w:r>
    </w:p>
    <w:bookmarkEnd w:id="37"/>
    <w:bookmarkStart w:id="38" w:name="die-drei-schichten"/>
    <w:p>
      <w:pPr>
        <w:pStyle w:val="Heading3"/>
      </w:pPr>
      <w:r>
        <w:t xml:space="preserve">4.2 Die drei Schichten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3: LLM-Übersetzung                           │</w:t>
      </w:r>
      <w:r>
        <w:br/>
      </w:r>
      <w:r>
        <w:rPr>
          <w:rStyle w:val="VerbatimChar"/>
        </w:rPr>
        <w:t xml:space="preserve">│  Anfälligkeit: 0.8 (hoch)                           │</w:t>
      </w:r>
      <w:r>
        <w:br/>
      </w:r>
      <w:r>
        <w:rPr>
          <w:rStyle w:val="VerbatimChar"/>
        </w:rPr>
        <w:t xml:space="preserve">│  Funktion: Formale Ergebnisse in Sprache übersetzen │</w:t>
      </w:r>
      <w:r>
        <w:br/>
      </w:r>
      <w:r>
        <w:rPr>
          <w:rStyle w:val="VerbatimChar"/>
        </w:rPr>
        <w:t xml:space="preserve">│  ERLAUBT: Erklären, interpretieren, kommunizieren   │</w:t>
      </w:r>
      <w:r>
        <w:br/>
      </w:r>
      <w:r>
        <w:rPr>
          <w:rStyle w:val="VerbatimChar"/>
        </w:rPr>
        <w:t xml:space="preserve">│  VERBOTEN: Werte erinnern, berechnen, generieren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Parameter-Store (YAML)                    │</w:t>
      </w:r>
      <w:r>
        <w:br/>
      </w:r>
      <w:r>
        <w:rPr>
          <w:rStyle w:val="VerbatimChar"/>
        </w:rPr>
        <w:t xml:space="preserve">│  Anfälligkeit: 0.3 (validierbar)                    │</w:t>
      </w:r>
      <w:r>
        <w:br/>
      </w:r>
      <w:r>
        <w:rPr>
          <w:rStyle w:val="VerbatimChar"/>
        </w:rPr>
        <w:t xml:space="preserve">│  Funktion: Werte mit Schema, Quellen, Bereichen     │</w:t>
      </w:r>
      <w:r>
        <w:br/>
      </w:r>
      <w:r>
        <w:rPr>
          <w:rStyle w:val="VerbatimChar"/>
        </w:rPr>
        <w:t xml:space="preserve">│  140+ Parameter, 404+ Kontext-Faktoren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Formale Berechnung (Python)               │</w:t>
      </w:r>
      <w:r>
        <w:br/>
      </w:r>
      <w:r>
        <w:rPr>
          <w:rStyle w:val="VerbatimChar"/>
        </w:rPr>
        <w:t xml:space="preserve">│  Anfälligkeit: 0.0 (immun)                          │</w:t>
      </w:r>
      <w:r>
        <w:br/>
      </w:r>
      <w:r>
        <w:rPr>
          <w:rStyle w:val="VerbatimChar"/>
        </w:rPr>
        <w:t xml:space="preserve">│  Funktion: EBF-Gleichungen deterministisch berechnen│</w:t>
      </w:r>
      <w:r>
        <w:br/>
      </w:r>
      <w:r>
        <w:rPr>
          <w:rStyle w:val="VerbatimChar"/>
        </w:rPr>
        <w:t xml:space="preserve">│  PCT, LLMMC, ODE-Simulation, R-Score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38"/>
    <w:bookmarkStart w:id="39" w:name="die-vier-grundprinzipien"/>
    <w:p>
      <w:pPr>
        <w:pStyle w:val="Heading3"/>
      </w:pPr>
      <w:r>
        <w:t xml:space="preserve">4.3 Die vier Grundprinzipien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Compute, Don’t Hallucinate</w:t>
      </w:r>
      <w:r>
        <w:t xml:space="preserve"> </w:t>
      </w:r>
      <w:r>
        <w:t xml:space="preserve">— Jede EBF-Zahl stammt aus formaler Berechnung (Layer 1), nicht aus LLM-Erinnerung.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Parameters from Registry, Not from Memory</w:t>
      </w:r>
      <w:r>
        <w:t xml:space="preserve"> </w:t>
      </w:r>
      <w:r>
        <w:t xml:space="preserve">— Werte werden aus YAML gelesen (Layer 2), nicht erinnert.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Translate, Don’t Generate</w:t>
      </w:r>
      <w:r>
        <w:t xml:space="preserve"> </w:t>
      </w:r>
      <w:r>
        <w:t xml:space="preserve">— Das LLM erklärt berechnete Ergebnisse, es erfindet keine.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Formal Layer is the Immune System</w:t>
      </w:r>
      <w:r>
        <w:t xml:space="preserve"> </w:t>
      </w:r>
      <w:r>
        <w:t xml:space="preserve">— Determinismus ist die virenfreie Zone.</w:t>
      </w:r>
    </w:p>
    <w:bookmarkEnd w:id="39"/>
    <w:bookmarkStart w:id="40" w:name="immune-gateway-autonomes-immunsystem"/>
    <w:p>
      <w:pPr>
        <w:pStyle w:val="Heading3"/>
      </w:pPr>
      <w:r>
        <w:t xml:space="preserve">4.4 Immune Gateway: Autonomes Immunsystem</w:t>
      </w:r>
    </w:p>
    <w:p>
      <w:pPr>
        <w:pStyle w:val="FirstParagraph"/>
      </w:pPr>
      <w:r>
        <w:t xml:space="preserve">Ein zentrales Problem wurde im Februar 2026 gelöst: Bisher entschied das LLM (Anfälligkeit 0.8)</w:t>
      </w:r>
      <w:r>
        <w:t xml:space="preserve"> </w:t>
      </w:r>
      <w:r>
        <w:rPr>
          <w:iCs/>
          <w:i/>
        </w:rPr>
        <w:t xml:space="preserve">selbst</w:t>
      </w:r>
      <w:r>
        <w:t xml:space="preserve">, ob es Layer 1 aufruft. Das ist so, als würde der Wirt entscheiden, ob der Virus leben darf.</w:t>
      </w:r>
    </w:p>
    <w:p>
      <w:pPr>
        <w:pStyle w:val="BodyText"/>
      </w:pPr>
      <w:r>
        <w:t xml:space="preserve">Die</w:t>
      </w:r>
      <w:r>
        <w:t xml:space="preserve"> </w:t>
      </w:r>
      <w:r>
        <w:rPr>
          <w:bCs/>
          <w:b/>
        </w:rPr>
        <w:t xml:space="preserve">Immune Gateway</w:t>
      </w:r>
      <w:r>
        <w:t xml:space="preserve"> </w:t>
      </w:r>
      <w:r>
        <w:t xml:space="preserve">löst dies: Layer 1 läuft</w:t>
      </w:r>
      <w:r>
        <w:t xml:space="preserve"> </w:t>
      </w:r>
      <w:r>
        <w:rPr>
          <w:iCs/>
          <w:i/>
        </w:rPr>
        <w:t xml:space="preserve">automatisch</w:t>
      </w:r>
      <w:r>
        <w:t xml:space="preserve"> </w:t>
      </w:r>
      <w:r>
        <w:t xml:space="preserve">via Hook,</w:t>
      </w:r>
      <w:r>
        <w:t xml:space="preserve"> </w:t>
      </w:r>
      <w:r>
        <w:rPr>
          <w:iCs/>
          <w:i/>
        </w:rPr>
        <w:t xml:space="preserve">bevor</w:t>
      </w:r>
      <w:r>
        <w:t xml:space="preserve"> </w:t>
      </w:r>
      <w:r>
        <w:t xml:space="preserve">das LLM antwortet. Das LLM entscheidet nicht mehr — die formale Berechnung geschieht autonom.</w:t>
      </w:r>
    </w:p>
    <w:p>
      <w:pPr>
        <w:pStyle w:val="SourceCode"/>
      </w:pPr>
      <w:r>
        <w:rPr>
          <w:rStyle w:val="VerbatimChar"/>
        </w:rPr>
        <w:t xml:space="preserve">User-Prompt → Hook → immune_gateway.py (Keyword-Erkennung)</w:t>
      </w:r>
      <w:r>
        <w:br/>
      </w:r>
      <w:r>
        <w:rPr>
          <w:rStyle w:val="VerbatimChar"/>
        </w:rPr>
        <w:t xml:space="preserve">                         ├── Match?  → orchestrator.py (Layer 1)</w:t>
      </w:r>
      <w:r>
        <w:br/>
      </w:r>
      <w:r>
        <w:rPr>
          <w:rStyle w:val="VerbatimChar"/>
        </w:rPr>
        <w:t xml:space="preserve">                         │               → Ergebnis im LLM-Kontext</w:t>
      </w:r>
      <w:r>
        <w:br/>
      </w:r>
      <w:r>
        <w:rPr>
          <w:rStyle w:val="VerbatimChar"/>
        </w:rPr>
        <w:t xml:space="preserve">                         └── No match → still (kein Output)</w:t>
      </w:r>
    </w:p>
    <w:bookmarkEnd w:id="40"/>
    <w:bookmarkStart w:id="41" w:name="wissenschaftliche-validierung"/>
    <w:p>
      <w:pPr>
        <w:pStyle w:val="Heading3"/>
      </w:pPr>
      <w:r>
        <w:t xml:space="preserve">4.5 Wissenschaftliche Validierung</w:t>
      </w:r>
    </w:p>
    <w:p>
      <w:pPr>
        <w:pStyle w:val="FirstParagraph"/>
      </w:pPr>
      <w:r>
        <w:t xml:space="preserve">Die TLA wurde durch eine Evidence Integration Pipeline (EIP) mit folgenden Ergebnissen validiert: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218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Erkenntnis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 (Gao et al., ICML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+40% Genauigkeit durch Python-Delegation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1 verbessert Ergebnisse massiv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Collapse (Shumailov et al., Nature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Rekursive KI-Inhalte degradieren Modelle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3 allein ist unzureichend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(Lewis et al., NeurIPS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+35% Faktentreue durch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2 als Wissensbasis validiert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Constitutional AI (Bai et al.,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Formale Constraints nötig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Prinzipienbasierte Kontrolle bestätigt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methodologie"/>
    <w:p>
      <w:pPr>
        <w:pStyle w:val="Heading2"/>
      </w:pPr>
      <w:r>
        <w:t xml:space="preserve">5. Methodologie</w:t>
      </w:r>
    </w:p>
    <w:bookmarkStart w:id="43" w:name="bbb-die-4-tier-parameter-hierarchie"/>
    <w:p>
      <w:pPr>
        <w:pStyle w:val="Heading3"/>
      </w:pPr>
      <w:r>
        <w:t xml:space="preserve">5.1 BBB: Die 4-Tier Parameter-Hierarchie</w:t>
      </w:r>
    </w:p>
    <w:p>
      <w:pPr>
        <w:pStyle w:val="FirstParagraph"/>
      </w:pPr>
      <w:r>
        <w:t xml:space="preserve">Jeder Parameter im EBF hat eine klar definierte Herkunft: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Unsicherheit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 (Meta-Analyse)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Höchste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LLMMC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Empirische Kalibrierung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Primärdaten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Expert:innen-Befragung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 Option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Literatur-Werte haben immer Vorrang.</w:t>
      </w:r>
      <w:r>
        <w:t xml:space="preserve"> </w:t>
      </w:r>
      <w:r>
        <w:t xml:space="preserve">LLMMC ist Fallback, nicht Default.</w:t>
      </w:r>
    </w:p>
    <w:bookmarkEnd w:id="43"/>
    <w:bookmarkStart w:id="44" w:name="llmmc-llm-monte-carlo-kalibrierung"/>
    <w:p>
      <w:pPr>
        <w:pStyle w:val="Heading3"/>
      </w:pPr>
      <w:r>
        <w:t xml:space="preserve">5.2 LLMMC: LLM Monte Carlo Kalibrierung</w:t>
      </w:r>
    </w:p>
    <w:p>
      <w:pPr>
        <w:pStyle w:val="FirstParagraph"/>
      </w:pPr>
      <w:r>
        <w:t xml:space="preserve">Wenn keine Literaturwerte verfügbar sind, nutzt das EBF ein innovatives Verfahren:</w:t>
      </w:r>
      <w:r>
        <w:t xml:space="preserve"> </w:t>
      </w:r>
      <w:r>
        <w:rPr>
          <w:bCs/>
          <w:b/>
        </w:rPr>
        <w:t xml:space="preserve">LLM Monte Carlo (LLMMC)</w:t>
      </w:r>
      <w:r>
        <w:t xml:space="preserve">. Dabei werden LLM-Schätzungen systematisch gegen bekannte Anker-Werte kalibriert.</w:t>
      </w:r>
    </w:p>
    <w:p>
      <w:pPr>
        <w:pStyle w:val="BodyText"/>
      </w:pPr>
      <w:r>
        <w:rPr>
          <w:bCs/>
          <w:b/>
        </w:rPr>
        <w:t xml:space="preserve">Vier-Komponenten-Framework: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Kalibrierungsanker definieren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Level-Kalibrierung (Bias &amp; Skalierung)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Unsicherheits-Kalibrierung (Coverage)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Evidenz-gewichtete Schrumpfung</w:t>
            </w:r>
          </w:p>
        </w:tc>
      </w:tr>
    </w:tbl>
    <w:p>
      <w:pPr>
        <w:pStyle w:val="BodyText"/>
      </w:pPr>
      <w:r>
        <w:rPr>
          <w:bCs/>
          <w:b/>
        </w:rPr>
        <w:t xml:space="preserve">Ergebnis:</w:t>
      </w:r>
      <w:r>
        <w:t xml:space="preserve"> </w:t>
      </w:r>
      <w:r>
        <w:t xml:space="preserve">Kalibrierte Parameterschätzungen mit 95%-Konfidenzintervallen.</w:t>
      </w:r>
    </w:p>
    <w:bookmarkEnd w:id="44"/>
    <w:bookmarkStart w:id="45" w:name="ode-verhaltensdynamik-simulator"/>
    <w:p>
      <w:pPr>
        <w:pStyle w:val="Heading3"/>
      </w:pPr>
      <w:r>
        <w:t xml:space="preserve">5.3 ODE-Verhaltensdynamik-Simulator</w:t>
      </w:r>
    </w:p>
    <w:p>
      <w:pPr>
        <w:pStyle w:val="FirstParagraph"/>
      </w:pPr>
      <w:r>
        <w:t xml:space="preserve">Für die Simulation von Verhaltensänderungen über die Zeit bietet das EBF einen</w:t>
      </w:r>
      <w:r>
        <w:t xml:space="preserve"> </w:t>
      </w:r>
      <w:r>
        <w:rPr>
          <w:bCs/>
          <w:b/>
        </w:rPr>
        <w:t xml:space="preserve">6-Zustand ODE-Simulator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Wahrgenommener Nutzen der Verhaltensänderung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Adoptionsrate (logistisch)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Widerstand gegen Veränderung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Gewohnheitsbildung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Veränderungsdynamik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Entscheidungsfähigkeit</w:t>
            </w:r>
          </w:p>
        </w:tc>
      </w:tr>
    </w:tbl>
    <w:p>
      <w:pPr>
        <w:pStyle w:val="BodyText"/>
      </w:pPr>
      <w:r>
        <w:t xml:space="preserve">Das System wird durch Euler-Integration gelöst und berücksichtigt explizit Komplementaritäten zwischen den Dimensionen.</w:t>
      </w:r>
    </w:p>
    <w:bookmarkEnd w:id="45"/>
    <w:bookmarkStart w:id="46" w:name="exclusion-principle-additiv-ist-default"/>
    <w:p>
      <w:pPr>
        <w:pStyle w:val="Heading3"/>
      </w:pPr>
      <w:r>
        <w:t xml:space="preserve">5.4 Exclusion Principle: Additiv ist Default</w:t>
      </w:r>
    </w:p>
    <w:p>
      <w:pPr>
        <w:pStyle w:val="FirstParagraph"/>
      </w:pPr>
      <w:r>
        <w:t xml:space="preserve">Ein häufiger Fehler in der Verhaltensökonomie ist die unreflektierte Multiplikation von Faktoren. Das EBF folgt dem</w:t>
      </w:r>
      <w:r>
        <w:t xml:space="preserve"> </w:t>
      </w:r>
      <w:r>
        <w:rPr>
          <w:bCs/>
          <w:b/>
        </w:rPr>
        <w:t xml:space="preserve">Exclusion Principle (EXC-1 bis EXC-6)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γ = 0</w:t>
      </w:r>
      <w:r>
        <w:t xml:space="preserve"> </w:t>
      </w:r>
      <w:r>
        <w:t xml:space="preserve">(additiv) ist der</w:t>
      </w:r>
      <w:r>
        <w:t xml:space="preserve"> </w:t>
      </w:r>
      <w:r>
        <w:rPr>
          <w:bCs/>
          <w:b/>
        </w:rPr>
        <w:t xml:space="preserve">Default</w:t>
      </w:r>
      <w:r>
        <w:t xml:space="preserve"> </w:t>
      </w:r>
      <w:r>
        <w:t xml:space="preserve">— keine Begründung nötig.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γ ≠ 0</w:t>
      </w:r>
      <w:r>
        <w:t xml:space="preserve"> </w:t>
      </w:r>
      <w:r>
        <w:t xml:space="preserve">(komplementär) erfordert eine</w:t>
      </w:r>
      <w:r>
        <w:t xml:space="preserve"> </w:t>
      </w:r>
      <w:r>
        <w:rPr>
          <w:bCs/>
          <w:b/>
        </w:rPr>
        <w:t xml:space="preserve">empirische Begründung</w:t>
      </w:r>
      <w:r>
        <w:t xml:space="preserve"> </w:t>
      </w:r>
      <w:r>
        <w:t xml:space="preserve">mit Verweis auf PAR-COMP-xxx.</w:t>
      </w:r>
    </w:p>
    <w:p>
      <w:pPr>
        <w:pStyle w:val="FirstParagraph"/>
      </w:pPr>
      <w:r>
        <w:t xml:space="preserve">Multiplikative Verknüpfung wird nur akzeptiert, wenn eine der 10 Whitelist-Bedingungen erfüllt ist (z.B. f = 0 → Y = 0, oder kausale Identifikation via RCT).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evidenzbasis"/>
    <w:p>
      <w:pPr>
        <w:pStyle w:val="Heading2"/>
      </w:pPr>
      <w:r>
        <w:t xml:space="preserve">6. Evidenzbasis</w:t>
      </w:r>
    </w:p>
    <w:bookmarkStart w:id="48" w:name="paper-datenbank"/>
    <w:p>
      <w:pPr>
        <w:pStyle w:val="Heading3"/>
      </w:pPr>
      <w:r>
        <w:t xml:space="preserve">6.1 Paper-Datenbank</w:t>
      </w:r>
    </w:p>
    <w:p>
      <w:pPr>
        <w:pStyle w:val="FirstParagraph"/>
      </w:pPr>
      <w:r>
        <w:t xml:space="preserve">Die EBF-Bibliothek umfasst</w:t>
      </w:r>
      <w:r>
        <w:t xml:space="preserve"> </w:t>
      </w:r>
      <w:r>
        <w:rPr>
          <w:bCs/>
          <w:b/>
        </w:rPr>
        <w:t xml:space="preserve">2’472 wissenschaftliche Papers</w:t>
      </w:r>
      <w:r>
        <w:t xml:space="preserve">, systematisch klassifiziert nach:</w:t>
      </w:r>
    </w:p>
    <w:p>
      <w:pPr>
        <w:pStyle w:val="BodyText"/>
      </w:pPr>
      <w:r>
        <w:rPr>
          <w:bCs/>
          <w:b/>
        </w:rPr>
        <w:t xml:space="preserve">Content Level C(p):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Anzahl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Metadaten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Question bekannt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~1’237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Summary/Extract verfügbar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~1’079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Kompletter Originaltext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Integration Level I(p):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Anzahl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use_for zugewiesen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theory_support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~1’102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case_registry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Dedizierter 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 Framework-Integration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</w:tr>
    </w:tbl>
    <w:bookmarkEnd w:id="48"/>
    <w:bookmarkStart w:id="49" w:name="theory-catalog"/>
    <w:p>
      <w:pPr>
        <w:pStyle w:val="Heading3"/>
      </w:pPr>
      <w:r>
        <w:t xml:space="preserve">6.2 Theory Catalog</w:t>
      </w:r>
    </w:p>
    <w:p>
      <w:pPr>
        <w:pStyle w:val="FirstParagraph"/>
      </w:pPr>
      <w:r>
        <w:rPr>
          <w:bCs/>
          <w:b/>
        </w:rPr>
        <w:t xml:space="preserve">212 Theorien in 27 Kategorien</w:t>
      </w:r>
      <w:r>
        <w:t xml:space="preserve">, darunter: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04"/>
        <w:gridCol w:w="50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Beispiel-Theorien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 Theory &amp; Reference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Kahneman-Tversky (1979), Köszegi-Rabin (2006)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Fehr-Schmidt (1999), Bolton-Ockenfels (2000)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Laibson (1997), O’Donoghue-Rabin (1999)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&amp; Beliefs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Akerlof-Kranton (2000), Bénabou-Tirole (2002)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Choice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Thaler-Sunstein (2008), Default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Voting &amp; Social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QRE, Consensus Formation, PSF-2.0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Herhausen (2019), Firestorm-Dynamik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Consumer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Puntoni et al. (2021)</w:t>
            </w:r>
          </w:p>
        </w:tc>
      </w:tr>
    </w:tbl>
    <w:bookmarkEnd w:id="49"/>
    <w:bookmarkStart w:id="50" w:name="case-registry"/>
    <w:p>
      <w:pPr>
        <w:pStyle w:val="Heading3"/>
      </w:pPr>
      <w:r>
        <w:t xml:space="preserve">6.3 Case Registry</w:t>
      </w:r>
    </w:p>
    <w:p>
      <w:pPr>
        <w:pStyle w:val="FirstParagraph"/>
      </w:pPr>
      <w:r>
        <w:rPr>
          <w:bCs/>
          <w:b/>
        </w:rPr>
        <w:t xml:space="preserve">936 dokumentierte Praxisfälle</w:t>
      </w:r>
      <w:r>
        <w:t xml:space="preserve">, indexiert nach allen 10C-Dimensionen. Jeder Case enthält:</w:t>
      </w:r>
    </w:p>
    <w:p>
      <w:pPr>
        <w:numPr>
          <w:ilvl w:val="0"/>
          <w:numId w:val="1007"/>
        </w:numPr>
        <w:pStyle w:val="Compact"/>
      </w:pPr>
      <w:r>
        <w:t xml:space="preserve">10C-Mapping (welche Dimensionen relevant)</w:t>
      </w:r>
    </w:p>
    <w:p>
      <w:pPr>
        <w:numPr>
          <w:ilvl w:val="0"/>
          <w:numId w:val="1007"/>
        </w:numPr>
        <w:pStyle w:val="Compact"/>
      </w:pPr>
      <w:r>
        <w:t xml:space="preserve">Verwendete Formeln und Parameter</w:t>
      </w:r>
    </w:p>
    <w:p>
      <w:pPr>
        <w:numPr>
          <w:ilvl w:val="0"/>
          <w:numId w:val="1007"/>
        </w:numPr>
        <w:pStyle w:val="Compact"/>
      </w:pPr>
      <w:r>
        <w:t xml:space="preserve">Ergebnisse und Learnings</w:t>
      </w:r>
    </w:p>
    <w:p>
      <w:pPr>
        <w:numPr>
          <w:ilvl w:val="0"/>
          <w:numId w:val="1007"/>
        </w:numPr>
        <w:pStyle w:val="Compact"/>
      </w:pPr>
      <w:r>
        <w:t xml:space="preserve">Referenzen zu wissenschaftlichen Papers</w:t>
      </w:r>
    </w:p>
    <w:bookmarkEnd w:id="50"/>
    <w:bookmarkStart w:id="51" w:name="parameter-registry"/>
    <w:p>
      <w:pPr>
        <w:pStyle w:val="Heading3"/>
      </w:pPr>
      <w:r>
        <w:t xml:space="preserve">6.4 Parameter Registry</w:t>
      </w:r>
    </w:p>
    <w:p>
      <w:pPr>
        <w:pStyle w:val="FirstParagraph"/>
      </w:pPr>
      <w:r>
        <w:rPr>
          <w:bCs/>
          <w:b/>
        </w:rPr>
        <w:t xml:space="preserve">140+ Verhaltensparameter</w:t>
      </w:r>
      <w:r>
        <w:t xml:space="preserve"> </w:t>
      </w:r>
      <w:r>
        <w:t xml:space="preserve">mit vollständiger Provenienz: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Typischer 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Aversion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1.8–3.0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Kahneman-Tversky 1979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0.7–0.9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Laibson 1997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Utility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Fehr-Schmidt 1999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0.15–0.45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Madrian-Shea 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Inequity Aversion (α)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Fehr-Schmidt 1999</w:t>
            </w:r>
          </w:p>
        </w:tc>
      </w:tr>
    </w:tbl>
    <w:p>
      <w:pPr>
        <w:pStyle w:val="BodyText"/>
      </w:pPr>
      <w:r>
        <w:t xml:space="preserve">Jeder Parameter enthält: Konfidenzintervall, Tier-Zuordnung (1–4), Messkontext und Paper-Referenz.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kontext-architektur"/>
    <w:p>
      <w:pPr>
        <w:pStyle w:val="Heading2"/>
      </w:pPr>
      <w:r>
        <w:t xml:space="preserve">7. Kontext-Architektur</w:t>
      </w:r>
    </w:p>
    <w:bookmarkStart w:id="53" w:name="fünf-ebenen-kontext-hierarchie"/>
    <w:p>
      <w:pPr>
        <w:pStyle w:val="Heading3"/>
      </w:pPr>
      <w:r>
        <w:t xml:space="preserve">7.1 Fünf-Ebenen Kontext-Hierarchie</w:t>
      </w:r>
    </w:p>
    <w:p>
      <w:pPr>
        <w:pStyle w:val="FirstParagraph"/>
      </w:pPr>
      <w:r>
        <w:t xml:space="preserve">Das EBF operationalisiert Kontext durch eine</w:t>
      </w:r>
      <w:r>
        <w:t xml:space="preserve"> </w:t>
      </w:r>
      <w:r>
        <w:rPr>
          <w:bCs/>
          <w:b/>
        </w:rPr>
        <w:t xml:space="preserve">strenge 5-Ebenen-Hierarchie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EBENE 1: MACRO   (Land/Markt)        → 404 Faktoren (CH/AT/DE)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EBENE 2: MESO    (Branche/Kunde)     → Variabel (CVA-Profile)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EBENE 3: MICRO   (Situation)         → 5 Dimensionen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EBENE 4: INDIVIDUAL (Person)         → 48 Faktoren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EBENE 5: META    (Entscheidung)      → 42 Faktoren</w:t>
      </w:r>
    </w:p>
    <w:p>
      <w:pPr>
        <w:pStyle w:val="FirstParagraph"/>
      </w:pPr>
      <w:r>
        <w:rPr>
          <w:bCs/>
          <w:b/>
        </w:rPr>
        <w:t xml:space="preserve">Reihenfolge ist Pflicht:</w:t>
      </w:r>
      <w:r>
        <w:t xml:space="preserve"> </w:t>
      </w:r>
      <w:r>
        <w:t xml:space="preserve">Land → Branche → Situation → Person → Entscheidung → Parameter.</w:t>
      </w:r>
    </w:p>
    <w:bookmarkEnd w:id="53"/>
    <w:bookmarkStart w:id="54" w:name="context-vector-architecture-cva"/>
    <w:p>
      <w:pPr>
        <w:pStyle w:val="Heading3"/>
      </w:pPr>
      <w:r>
        <w:t xml:space="preserve">7.2 Context Vector Architecture (CVA)</w:t>
      </w:r>
    </w:p>
    <w:p>
      <w:pPr>
        <w:pStyle w:val="FirstParagraph"/>
      </w:pPr>
      <w:r>
        <w:t xml:space="preserve">Für Unternehmenskontexte bietet das EBF drei Detailstufen: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Std.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Pitch,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YAMLs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Vollprojekt, Strategie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 YAMLs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Wochen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Langzeit-Mandat, M&amp;A</w:t>
            </w:r>
          </w:p>
        </w:tc>
      </w:tr>
    </w:tbl>
    <w:p>
      <w:pPr>
        <w:pStyle w:val="BodyText"/>
      </w:pPr>
      <w:r>
        <w:rPr>
          <w:bCs/>
          <w:b/>
        </w:rPr>
        <w:t xml:space="preserve">Die 8 CVA-Kategorien (STANDARD):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(Financial)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Umsatz, Marge, Investitionen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 (Market)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Wettbewerb, Marktposition,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 (Governance)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Struktur, Kultur, Prozesse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 (People)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Mitarbeitende, Kompetenzen, Fluktuation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 (Risk)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Risikoprofil, Compliance, Reputation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STK (Stakeholder)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Eigentümer:innen, Regulator, Öffentlichkeit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 (Strategy)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Vision, Ziele, Differenzierung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 (Technology)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Digitalisierung, Innovation, Infrastruktur</w:t>
            </w:r>
          </w:p>
        </w:tc>
      </w:tr>
    </w:tbl>
    <w:bookmarkEnd w:id="54"/>
    <w:bookmarkStart w:id="55" w:name="bcm2-die-kontext-datenbank"/>
    <w:p>
      <w:pPr>
        <w:pStyle w:val="Heading3"/>
      </w:pPr>
      <w:r>
        <w:t xml:space="preserve">7.3 BCM2: Die Kontext-Datenbank</w:t>
      </w:r>
    </w:p>
    <w:p>
      <w:pPr>
        <w:pStyle w:val="FirstParagraph"/>
      </w:pPr>
      <w:r>
        <w:t xml:space="preserve">Die BCM2-Datenbank enthält</w:t>
      </w:r>
      <w:r>
        <w:t xml:space="preserve"> </w:t>
      </w:r>
      <w:r>
        <w:rPr>
          <w:bCs/>
          <w:b/>
        </w:rPr>
        <w:t xml:space="preserve">404+ Kontext-Faktoren</w:t>
      </w:r>
      <w:r>
        <w:t xml:space="preserve"> </w:t>
      </w:r>
      <w:r>
        <w:t xml:space="preserve">für die DACH-Region: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2554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Bevölkerungsstruktur, Urbanisierung,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Ökonomisch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BIP, Arbeitslosigkeit, Ungleichheit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Institutionell-Politisch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Direkte Demokratie, Föderalismus, Regulierung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Technologisch-Ökologisch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Digitalisierung, Energiewende, Klimawandel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Sozio-Kulturell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Vertrauen, Werte, Religion, Sprachen</w:t>
            </w:r>
          </w:p>
        </w:tc>
      </w:tr>
    </w:tbl>
    <w:p>
      <w:pPr>
        <w:pStyle w:val="BodyText"/>
      </w:pPr>
      <w:r>
        <w:rPr>
          <w:bCs/>
          <w:b/>
        </w:rPr>
        <w:t xml:space="preserve">Jeder Faktor enthält:</w:t>
      </w:r>
      <w:r>
        <w:t xml:space="preserve"> </w:t>
      </w:r>
      <w:r>
        <w:t xml:space="preserve">Aktuelle Werte, Quellen (BFS, ESS, WVS), Trends und API-Verbindungen.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interventions-design"/>
    <w:p>
      <w:pPr>
        <w:pStyle w:val="Heading2"/>
      </w:pPr>
      <w:r>
        <w:t xml:space="preserve">8. Interventions-Design</w:t>
      </w:r>
    </w:p>
    <w:bookmarkStart w:id="57" w:name="emergent-intervention-theory-eit"/>
    <w:p>
      <w:pPr>
        <w:pStyle w:val="Heading3"/>
      </w:pPr>
      <w:r>
        <w:t xml:space="preserve">8.1 Emergent Intervention Theory (EIT)</w:t>
      </w:r>
    </w:p>
    <w:p>
      <w:pPr>
        <w:pStyle w:val="FirstParagraph"/>
      </w:pPr>
      <w:r>
        <w:t xml:space="preserve">Das EBF behandelt Interventionen nicht als diskrete «Nudges», sondern als</w:t>
      </w:r>
      <w:r>
        <w:t xml:space="preserve"> </w:t>
      </w:r>
      <w:r>
        <w:rPr>
          <w:bCs/>
          <w:b/>
        </w:rPr>
        <w:t xml:space="preserve">9-dimensionale Vektoren</w:t>
      </w:r>
      <w:r>
        <w:t xml:space="preserve"> </w:t>
      </w:r>
      <w:r>
        <w:t xml:space="preserve">im kontinuierlichen Raum [0,1]⁹. Jede Intervention wird durch ihre Wirkung auf die 10C-Dimensionen 1–9 beschrieben.</w:t>
      </w:r>
    </w:p>
    <w:bookmarkEnd w:id="57"/>
    <w:bookmarkStart w:id="58" w:name="das-20-field-schema"/>
    <w:p>
      <w:pPr>
        <w:pStyle w:val="Heading3"/>
      </w:pPr>
      <w:r>
        <w:t xml:space="preserve">8.2 Das 20-Field Schema</w:t>
      </w:r>
    </w:p>
    <w:p>
      <w:pPr>
        <w:pStyle w:val="FirstParagraph"/>
      </w:pPr>
      <w:r>
        <w:t xml:space="preserve">Jede Intervention wird durch 20 standardisierte Felder spezifiziert: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F1: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Bezeichnung der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F2: 10C-Target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Dimension wird adressiert?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F3: Δ-Ziel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soll sich verändern? (z.B. A↑, γ→)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F4: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welcher Phase der Behavior Change Journey?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F5: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Zielgruppe?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F6: Mechanismus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wirkt die Intervention?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F7–F10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Komplementarität, Crowding-Out, Autonomie,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F11–F15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Implementierung, Timing, Kosten, Messung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F16–F20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Risiken, Ethik, Skalierung, Learnings</w:t>
            </w:r>
          </w:p>
        </w:tc>
      </w:tr>
    </w:tbl>
    <w:bookmarkEnd w:id="58"/>
    <w:bookmarkStart w:id="59" w:name="komplementaritäts-prüfung"/>
    <w:p>
      <w:pPr>
        <w:pStyle w:val="Heading3"/>
      </w:pPr>
      <w:r>
        <w:t xml:space="preserve">8.3 Komplementaritäts-Prüfung</w:t>
      </w:r>
    </w:p>
    <w:p>
      <w:pPr>
        <w:pStyle w:val="FirstParagraph"/>
      </w:pPr>
      <w:r>
        <w:rPr>
          <w:bCs/>
          <w:b/>
        </w:rPr>
        <w:t xml:space="preserve">Bekannte Konflikte (Pflichtprüfung):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Social + Financial</w:t>
      </w:r>
      <w:r>
        <w:t xml:space="preserve"> </w:t>
      </w:r>
      <w:r>
        <w:t xml:space="preserve">(γ = −0.2): Finanzielle Anreize können soziale Normen untergraben.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Financial + Commitment</w:t>
      </w:r>
      <w:r>
        <w:t xml:space="preserve"> </w:t>
      </w:r>
      <w:r>
        <w:t xml:space="preserve">(γ = −0.3): Externe Belohnungen können intrinsische Motivation zerstören.</w:t>
      </w:r>
    </w:p>
    <w:p>
      <w:pPr>
        <w:pStyle w:val="FirstParagraph"/>
      </w:pPr>
      <w:r>
        <w:t xml:space="preserve">Das EBF warnt automatisch, wenn solche Konflikte in einem Interventions-Portfolio auftreten.</w:t>
      </w:r>
    </w:p>
    <w:bookmarkEnd w:id="59"/>
    <w:bookmarkStart w:id="60" w:name="phase-type-affinity"/>
    <w:p>
      <w:pPr>
        <w:pStyle w:val="Heading3"/>
      </w:pPr>
      <w:r>
        <w:t xml:space="preserve">8.4 Phase-Type Affinity</w:t>
      </w:r>
    </w:p>
    <w:p>
      <w:pPr>
        <w:pStyle w:val="FirstParagraph"/>
      </w:pPr>
      <w:r>
        <w:t xml:space="preserve">Nicht jede Intervention passt zu jeder Phase der Verhaltensreise: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Empfohlene Interventionen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α-Wert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Information, Salience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&gt;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Willingness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Soziale Normen,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&gt;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Defaults, Vereinfachung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&gt;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Feedback, Gewohnheitsbildung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&gt; 0.7</w:t>
            </w:r>
          </w:p>
        </w:tc>
      </w:tr>
    </w:tbl>
    <w:p>
      <w:pPr>
        <w:pStyle w:val="BodyText"/>
      </w:pPr>
      <w:r>
        <w:t xml:space="preserve">Bei α &lt; 0.5 ist die Intervention für diese Phase</w:t>
      </w:r>
      <w:r>
        <w:t xml:space="preserve"> </w:t>
      </w:r>
      <w:r>
        <w:rPr>
          <w:bCs/>
          <w:b/>
        </w:rPr>
        <w:t xml:space="preserve">nicht empfohlen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technische-infrastruktur"/>
    <w:p>
      <w:pPr>
        <w:pStyle w:val="Heading2"/>
      </w:pPr>
      <w:r>
        <w:t xml:space="preserve">9. Technische Infrastruktur</w:t>
      </w:r>
    </w:p>
    <w:bookmarkStart w:id="62" w:name="computational-pipeline"/>
    <w:p>
      <w:pPr>
        <w:pStyle w:val="Heading3"/>
      </w:pPr>
      <w:r>
        <w:t xml:space="preserve">9.1 Computational Pipeline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User-Anfrage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IMMUNE GATEWAY (immune_gateway.py)      │</w:t>
      </w:r>
      <w:r>
        <w:br/>
      </w:r>
      <w:r>
        <w:rPr>
          <w:rStyle w:val="VerbatimChar"/>
        </w:rPr>
        <w:t xml:space="preserve">│  Keyword-Erkennung → automatisch         │</w:t>
      </w:r>
      <w:r>
        <w:br/>
      </w:r>
      <w:r>
        <w:rPr>
          <w:rStyle w:val="VerbatimChar"/>
        </w:rPr>
        <w:t xml:space="preserve">└────────┬───────────────────┬─────────────┘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↓                   ↓</w:t>
      </w:r>
      <w:r>
        <w:br/>
      </w:r>
      <w:r>
        <w:rPr>
          <w:rStyle w:val="VerbatimChar"/>
        </w:rPr>
        <w:t xml:space="preserve">┌────────────────┐  ┌───────────────────┐</w:t>
      </w:r>
      <w:r>
        <w:br/>
      </w:r>
      <w:r>
        <w:rPr>
          <w:rStyle w:val="VerbatimChar"/>
        </w:rPr>
        <w:t xml:space="preserve">│  Layer 2:      │  │  Layer 1:         │</w:t>
      </w:r>
      <w:r>
        <w:br/>
      </w:r>
      <w:r>
        <w:rPr>
          <w:rStyle w:val="VerbatimChar"/>
        </w:rPr>
        <w:t xml:space="preserve">│  YAML laden    │  │  PCT berechnen    │</w:t>
      </w:r>
      <w:r>
        <w:br/>
      </w:r>
      <w:r>
        <w:rPr>
          <w:rStyle w:val="VerbatimChar"/>
        </w:rPr>
        <w:t xml:space="preserve">│  (parameter-   │  │  LLMMC kalibrieren│</w:t>
      </w:r>
      <w:r>
        <w:br/>
      </w:r>
      <w:r>
        <w:rPr>
          <w:rStyle w:val="VerbatimChar"/>
        </w:rPr>
        <w:t xml:space="preserve">│   registry)    │  │  ODE simulieren   │</w:t>
      </w:r>
      <w:r>
        <w:br/>
      </w:r>
      <w:r>
        <w:rPr>
          <w:rStyle w:val="VerbatimChar"/>
        </w:rPr>
        <w:t xml:space="preserve">└────────┬───────┘  └───────┬───────────┘</w:t>
      </w:r>
      <w:r>
        <w:br/>
      </w:r>
      <w:r>
        <w:rPr>
          <w:rStyle w:val="VerbatimChar"/>
        </w:rPr>
        <w:t xml:space="preserve">         └──────────┬───────┘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ORCHESTRATOR (orchestrator.py)          │</w:t>
      </w:r>
      <w:r>
        <w:br/>
      </w:r>
      <w:r>
        <w:rPr>
          <w:rStyle w:val="VerbatimChar"/>
        </w:rPr>
        <w:t xml:space="preserve">│  Full Provenance Chain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3: LLM-Übersetzung               │</w:t>
      </w:r>
      <w:r>
        <w:br/>
      </w:r>
      <w:r>
        <w:rPr>
          <w:rStyle w:val="VerbatimChar"/>
        </w:rPr>
        <w:t xml:space="preserve">│  Formale Ergebnisse → natürliche Sprache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62"/>
    <w:bookmarkStart w:id="63" w:name="kernkomponenten-layer-1"/>
    <w:p>
      <w:pPr>
        <w:pStyle w:val="Heading3"/>
      </w:pPr>
      <w:r>
        <w:t xml:space="preserve">9.2 Kernkomponenten (Layer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Three-Layer Orchestrator mit Query-Routing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Context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llmmc_calibration.py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Monte Carlo Kalibrierung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immune_gateway.py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Autonome Pre-Response Layer-1-Berechnung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ode_simulator.py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6-Zustand Verhaltensdynamik-Simulation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Parameter Lookup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r_score.py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R-Score Monte Carlo (Distanzmessung)</w:t>
            </w:r>
          </w:p>
        </w:tc>
      </w:tr>
    </w:tbl>
    <w:bookmarkEnd w:id="63"/>
    <w:bookmarkStart w:id="64" w:name="validierung-und-qualitätssicherung"/>
    <w:p>
      <w:pPr>
        <w:pStyle w:val="Heading3"/>
      </w:pPr>
      <w:r>
        <w:t xml:space="preserve">9.3 Validierung und Qualitätssicherung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346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Prüfung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check_template_compliance.py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Kapitel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check_chapter_compliance.py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Referentielle Integrität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validate_referential_integrity.py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Parameter-Konsistenz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validate_parameter_consistency.py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Warnung bei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Kontext-Konsistenz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validate_context_consistency.py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BibTeX-YAML Konsistenz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validate_bibtex_yaml_consistency.py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Gate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Pre-Commit Hooks</w:t>
      </w:r>
      <w:r>
        <w:t xml:space="preserve"> </w:t>
      </w:r>
      <w:r>
        <w:t xml:space="preserve">blockieren automatisch:</w:t>
      </w:r>
      <w:r>
        <w:t xml:space="preserve"> </w:t>
      </w:r>
      <w:r>
        <w:t xml:space="preserve">- Appendices/Kapitel mit Compliance &lt; 85%</w:t>
      </w:r>
      <w:r>
        <w:t xml:space="preserve"> </w:t>
      </w:r>
      <w:r>
        <w:t xml:space="preserve">- Doppelte Registry-IDs (CAS, MS, PAR, CAT)</w:t>
      </w:r>
      <w:r>
        <w:t xml:space="preserve"> </w:t>
      </w:r>
      <w:r>
        <w:t xml:space="preserve">- Level-5-Claims ohne alle 9 Komponenten</w:t>
      </w:r>
      <w:r>
        <w:t xml:space="preserve"> </w:t>
      </w:r>
      <w:r>
        <w:t xml:space="preserve">- Potenzielle Merge-Konflikte</w:t>
      </w:r>
    </w:p>
    <w:bookmarkEnd w:id="64"/>
    <w:bookmarkStart w:id="65" w:name="automatisierung"/>
    <w:p>
      <w:pPr>
        <w:pStyle w:val="Heading3"/>
      </w:pPr>
      <w:r>
        <w:t xml:space="preserve">9.4 Automatisierung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Python-Skripte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CI/CD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Pre-Commit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automatische Prüfungen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YAML-Datenbanken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354+ Dateien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anwendungsbereiche"/>
    <w:p>
      <w:pPr>
        <w:pStyle w:val="Heading2"/>
      </w:pPr>
      <w:r>
        <w:t xml:space="preserve">10. Anwendungsbereiche</w:t>
      </w:r>
    </w:p>
    <w:bookmarkStart w:id="67" w:name="anwendungshierarchie"/>
    <w:p>
      <w:pPr>
        <w:pStyle w:val="Heading3"/>
      </w:pPr>
      <w:r>
        <w:t xml:space="preserve">10.1 Anwendungshierarchie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4"/>
        <w:gridCol w:w="2074"/>
        <w:gridCol w:w="1320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Anwendung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10C-Target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Komplexität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 Verhaltensanalyse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+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Interventions-Design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+ AWARE +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Min. – 2 Std.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Kunden-Strategiemodell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10C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Transformationsprogramm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10C + Sequenzierung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2–12 Wochen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M&amp;A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10C + CVA-Vertieft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Wochen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</w:tr>
    </w:tbl>
    <w:bookmarkEnd w:id="67"/>
    <w:bookmarkStart w:id="68" w:name="branchenbeispiele"/>
    <w:p>
      <w:pPr>
        <w:pStyle w:val="Heading3"/>
      </w:pPr>
      <w:r>
        <w:t xml:space="preserve">10.2 Branchenbeispiele</w:t>
      </w:r>
    </w:p>
    <w:p>
      <w:pPr>
        <w:pStyle w:val="FirstParagraph"/>
      </w:pPr>
      <w:r>
        <w:rPr>
          <w:bCs/>
          <w:b/>
        </w:rPr>
        <w:t xml:space="preserve">Banking &amp; Finance:</w:t>
      </w:r>
      <w:r>
        <w:t xml:space="preserve"> </w:t>
      </w:r>
      <w:r>
        <w:t xml:space="preserve">LUKB, UBS, Migros Bank, BEKB, ZKB, Raiffeisen, PostFinance, Valiant, Vontobel, Julius Bär, GKB, Neon — Verhaltensbasierte Kundenstrategien, Anlageberatung, Default-Optimierung.</w:t>
      </w:r>
    </w:p>
    <w:p>
      <w:pPr>
        <w:pStyle w:val="BodyText"/>
      </w:pPr>
      <w:r>
        <w:rPr>
          <w:bCs/>
          <w:b/>
        </w:rPr>
        <w:t xml:space="preserve">Industrie &amp; Produktion:</w:t>
      </w:r>
      <w:r>
        <w:t xml:space="preserve"> </w:t>
      </w:r>
      <w:r>
        <w:t xml:space="preserve">ALPLA, PORR — Arbeitssicherheit, Transformationsprogramme, Langfrist-Strategiemodelle.</w:t>
      </w:r>
    </w:p>
    <w:p>
      <w:pPr>
        <w:pStyle w:val="BodyText"/>
      </w:pPr>
      <w:r>
        <w:rPr>
          <w:bCs/>
          <w:b/>
        </w:rPr>
        <w:t xml:space="preserve">Versicherung &amp; Gesundheit:</w:t>
      </w:r>
      <w:r>
        <w:t xml:space="preserve"> </w:t>
      </w:r>
      <w:r>
        <w:t xml:space="preserve">Helsana — Prävention, Gesundheitsverhalten, Compliance-Optimierung.</w:t>
      </w:r>
    </w:p>
    <w:p>
      <w:pPr>
        <w:pStyle w:val="BodyText"/>
      </w:pPr>
      <w:r>
        <w:rPr>
          <w:bCs/>
          <w:b/>
        </w:rPr>
        <w:t xml:space="preserve">Konsumgüter &amp; Retail:</w:t>
      </w:r>
      <w:r>
        <w:t xml:space="preserve"> </w:t>
      </w:r>
      <w:r>
        <w:t xml:space="preserve">Lindt, Peek &amp; Cloppenburg, BMW — Kaufverhalten, Pricing, Customer Experience.</w:t>
      </w:r>
    </w:p>
    <w:p>
      <w:pPr>
        <w:pStyle w:val="BodyText"/>
      </w:pPr>
      <w:r>
        <w:rPr>
          <w:bCs/>
          <w:b/>
        </w:rPr>
        <w:t xml:space="preserve">Politik:</w:t>
      </w:r>
      <w:r>
        <w:t xml:space="preserve"> </w:t>
      </w:r>
      <w:r>
        <w:t xml:space="preserve">SPÖ — Evidenzbasierte Politikberatung, Wähler:innen-Verhalten, Kommunikationsstrategie.</w:t>
      </w:r>
    </w:p>
    <w:bookmarkEnd w:id="68"/>
    <w:bookmarkStart w:id="69" w:name="nachgewiesene-vorhersagegenauigkeit"/>
    <w:p>
      <w:pPr>
        <w:pStyle w:val="Heading3"/>
      </w:pPr>
      <w:r>
        <w:t xml:space="preserve">10.3 Nachgewiesene Vorhersagegenauigkeit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300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PSF-2.0 (Papal Selection 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Papst-Konklaven 1903–2024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Gewinner-Genauigkeit (12/12)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Religious Distance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Alevitentum–Zoroastrismus–Sunnismus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0.87 vs. 1.48 (70% näher an Zoro)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M-Score Replikation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Replikationsvorhersage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0.70 Korrelation mit tatsächlichen Raten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qualitätssicherung-und-governance"/>
    <w:p>
      <w:pPr>
        <w:pStyle w:val="Heading2"/>
      </w:pPr>
      <w:r>
        <w:t xml:space="preserve">11. Qualitätssicherung und Governance</w:t>
      </w:r>
    </w:p>
    <w:bookmarkStart w:id="71" w:name="evidence-integration-pipeline-eip"/>
    <w:p>
      <w:pPr>
        <w:pStyle w:val="Heading3"/>
      </w:pPr>
      <w:r>
        <w:t xml:space="preserve">11.1 Evidence Integration Pipeline (EIP)</w:t>
      </w:r>
    </w:p>
    <w:p>
      <w:pPr>
        <w:pStyle w:val="FirstParagraph"/>
      </w:pPr>
      <w:r>
        <w:t xml:space="preserve">Jedes neue Konzept im EBF durchläuft eine</w:t>
      </w:r>
      <w:r>
        <w:t xml:space="preserve"> </w:t>
      </w:r>
      <w:r>
        <w:rPr>
          <w:bCs/>
          <w:b/>
        </w:rPr>
        <w:t xml:space="preserve">5-Stufen-Prüfung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Konzept dokumentieren</w:t>
      </w:r>
      <w:r>
        <w:t xml:space="preserve"> </w:t>
      </w:r>
      <w:r>
        <w:t xml:space="preserve">— Was wird behauptet?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PRO-Evidenz suchen</w:t>
      </w:r>
      <w:r>
        <w:t xml:space="preserve"> </w:t>
      </w:r>
      <w:r>
        <w:t xml:space="preserve">— Mindestens 3 unterstützende Papers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CONTRA-Evidenz aktiv suchen</w:t>
      </w:r>
      <w:r>
        <w:t xml:space="preserve"> </w:t>
      </w:r>
      <w:r>
        <w:t xml:space="preserve">— Gegenargumente identifizieren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Entscheidung treffen</w:t>
      </w:r>
      <w:r>
        <w:t xml:space="preserve"> </w:t>
      </w:r>
      <w:r>
        <w:t xml:space="preserve">— Integrieren / Verwerfen / Modifizieren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Framework-Integration</w:t>
      </w:r>
      <w:r>
        <w:t xml:space="preserve"> </w:t>
      </w:r>
      <w:r>
        <w:t xml:space="preserve">— Appendix + Kapitel + BibTeX</w:t>
      </w:r>
    </w:p>
    <w:bookmarkEnd w:id="71"/>
    <w:bookmarkStart w:id="72" w:name="paper-integration-workflow"/>
    <w:p>
      <w:pPr>
        <w:pStyle w:val="Heading3"/>
      </w:pPr>
      <w:r>
        <w:t xml:space="preserve">11.2 Paper Integration Workflow</w:t>
      </w:r>
    </w:p>
    <w:p>
      <w:pPr>
        <w:pStyle w:val="FirstParagraph"/>
      </w:pPr>
      <w:r>
        <w:t xml:space="preserve">Jedes neue Paper durchläuft den</w:t>
      </w:r>
      <w:r>
        <w:t xml:space="preserve"> </w:t>
      </w:r>
      <w:r>
        <w:rPr>
          <w:rStyle w:val="VerbatimChar"/>
        </w:rPr>
        <w:t xml:space="preserve">/integrate-paper</w:t>
      </w:r>
      <w:r>
        <w:t xml:space="preserve"> </w:t>
      </w:r>
      <w:r>
        <w:t xml:space="preserve">Workflow mit automatischer Klassifikation (7 Kriterien, 5 Levels):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BibTeX + Theory +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 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Case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 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Theory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8 Komponenten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Min.</w:t>
            </w:r>
          </w:p>
        </w:tc>
      </w:tr>
    </w:tbl>
    <w:bookmarkEnd w:id="72"/>
    <w:bookmarkStart w:id="73" w:name="reverse-engineering-workflow-rew"/>
    <w:p>
      <w:pPr>
        <w:pStyle w:val="Heading3"/>
      </w:pPr>
      <w:r>
        <w:t xml:space="preserve">11.3 Reverse Engineering Workflow (REW)</w:t>
      </w:r>
    </w:p>
    <w:p>
      <w:pPr>
        <w:pStyle w:val="FirstParagraph"/>
      </w:pPr>
      <w:r>
        <w:t xml:space="preserve">Bestehende Strategie-Dokumente werden rückwärts validiert:</w:t>
      </w:r>
    </w:p>
    <w:p>
      <w:pPr>
        <w:pStyle w:val="SourceCode"/>
      </w:pPr>
      <w:r>
        <w:rPr>
          <w:rStyle w:val="VerbatimChar"/>
        </w:rPr>
        <w:t xml:space="preserve">Dokumente → Operationalisierung → Axiome → Beliefs → Theorien</w:t>
      </w:r>
    </w:p>
    <w:p>
      <w:pPr>
        <w:pStyle w:val="FirstParagraph"/>
      </w:pPr>
      <w:r>
        <w:t xml:space="preserve">Vier Prüfebenen stellen sicher, dass jede Empfehlung auf wissenschaftlicher Evidenz basiert.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ausblick"/>
    <w:p>
      <w:pPr>
        <w:pStyle w:val="Heading2"/>
      </w:pPr>
      <w:r>
        <w:t xml:space="preserve">12. Ausblick</w:t>
      </w:r>
    </w:p>
    <w:bookmarkStart w:id="75" w:name="aktuelle-entwicklungen"/>
    <w:p>
      <w:pPr>
        <w:pStyle w:val="Heading3"/>
      </w:pPr>
      <w:r>
        <w:t xml:space="preserve">12.1 Aktuelle Entwicklungen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Immune Gateway</w:t>
      </w:r>
      <w:r>
        <w:t xml:space="preserve"> </w:t>
      </w:r>
      <w:r>
        <w:t xml:space="preserve">(Februar 2026): Autonome Layer-1-Berechnung löst das «Wirt-entscheidet»-Paradoxon.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PCT-Informed LLMMC</w:t>
      </w:r>
      <w:r>
        <w:t xml:space="preserve"> </w:t>
      </w:r>
      <w:r>
        <w:t xml:space="preserve">(Tier 2.5): Hybride empirisch-theoretische Priors für bessere Kalibrierung.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ODE-Simulator</w:t>
      </w:r>
      <w:r>
        <w:t xml:space="preserve">: Counterfactual-Analyse für Interventionsvergleiche.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Registry Manager</w:t>
      </w:r>
      <w:r>
        <w:t xml:space="preserve">: Proaktive Duplikat-Prävention mit automatischer ID-Vergabe.</w:t>
      </w:r>
    </w:p>
    <w:bookmarkEnd w:id="75"/>
    <w:bookmarkStart w:id="76" w:name="nächste-schritte"/>
    <w:p>
      <w:pPr>
        <w:pStyle w:val="Heading3"/>
      </w:pPr>
      <w:r>
        <w:t xml:space="preserve">12.2 Nächste Schritte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Immune Gateway erweitern:</w:t>
      </w:r>
      <w:r>
        <w:t xml:space="preserve"> </w:t>
      </w:r>
      <w:r>
        <w:t xml:space="preserve">Vollständige Keyword-Taxonomie für alle 140+ Parameter.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ODE-Validierung:</w:t>
      </w:r>
      <w:r>
        <w:t xml:space="preserve"> </w:t>
      </w:r>
      <w:r>
        <w:t xml:space="preserve">Simulationen gegen empirische Interventionsdaten validieren.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Governance formalisieren:</w:t>
      </w:r>
      <w:r>
        <w:t xml:space="preserve"> </w:t>
      </w:r>
      <w:r>
        <w:t xml:space="preserve">Prozess für Layer-2-Parameter-Updates standardisieren.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Drift-Erkennung für Parameter-Konsistenz implementieren.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Skalierung:</w:t>
      </w:r>
      <w:r>
        <w:t xml:space="preserve"> </w:t>
      </w:r>
      <w:r>
        <w:t xml:space="preserve">CVA-VERTIEFT Profile für weitere Branchen erstellen.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anhang-a-glossar"/>
    <w:p>
      <w:pPr>
        <w:pStyle w:val="Heading2"/>
      </w:pPr>
      <w:r>
        <w:t xml:space="preserve">Anhang A: Glossar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10 CORE-Dimensionen des EBF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Change Model 2 — die Kontext-Datenbank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Vector Architecture — 3-stufiges Kundenprofil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Evidence-Based Framework for Economic and Social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Integration Pipeline — 5-Stufen-Qualitätsprüfung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Intervention Theory — systematisches Interventions-Design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FEPSDE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Financial, Emotional, Physical, Social, Development, Ecological — die 6 Utility-Dimensionen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Monte Carlo — Kalibrierungsverfahren für LLM-Schätzungen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Context Transformation — kontextabhängige Parameteranpassung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Three-Layer Architecture — die Drei-Schichten-Architektur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 — die 8 Kontext-Dimensionen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 — Komplementaritätskoeffizient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— Loss Aversion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Theta — generischer Verhaltensparameter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anhang-b-referenzen-auswahl"/>
    <w:p>
      <w:pPr>
        <w:pStyle w:val="Heading2"/>
      </w:pPr>
      <w:r>
        <w:t xml:space="preserve">Anhang B: Referenzen (Auswahl)</w:t>
      </w:r>
    </w:p>
    <w:p>
      <w:pPr>
        <w:numPr>
          <w:ilvl w:val="0"/>
          <w:numId w:val="1012"/>
        </w:numPr>
        <w:pStyle w:val="Compact"/>
      </w:pPr>
      <w:r>
        <w:t xml:space="preserve">Kahneman, D. &amp; Tversky, A. (1979). Prospect Theory: An Analysis of Decision under Risk.</w:t>
      </w:r>
      <w:r>
        <w:t xml:space="preserve"> </w:t>
      </w:r>
      <w:r>
        <w:rPr>
          <w:iCs/>
          <w:i/>
        </w:rPr>
        <w:t xml:space="preserve">Econometrica</w:t>
      </w:r>
      <w:r>
        <w:t xml:space="preserve">, 47(2), 263–291.</w:t>
      </w:r>
    </w:p>
    <w:p>
      <w:pPr>
        <w:numPr>
          <w:ilvl w:val="0"/>
          <w:numId w:val="1012"/>
        </w:numPr>
        <w:pStyle w:val="Compact"/>
      </w:pPr>
      <w:r>
        <w:t xml:space="preserve">Thaler, R. H. &amp; Sunstein, C. R. (2008).</w:t>
      </w:r>
      <w:r>
        <w:t xml:space="preserve"> </w:t>
      </w:r>
      <w:r>
        <w:rPr>
          <w:iCs/>
          <w:i/>
        </w:rPr>
        <w:t xml:space="preserve">Nudge: Improving Decisions About Health, Wealth, and Happiness</w:t>
      </w:r>
      <w:r>
        <w:t xml:space="preserve">. Yale University Press.</w:t>
      </w:r>
    </w:p>
    <w:p>
      <w:pPr>
        <w:numPr>
          <w:ilvl w:val="0"/>
          <w:numId w:val="1012"/>
        </w:numPr>
        <w:pStyle w:val="Compact"/>
      </w:pPr>
      <w:r>
        <w:t xml:space="preserve">Fehr, E. &amp; Schmidt, K. M. (1999). A Theory of Fairness, Competition, and Cooperation.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114(3), 817–868.</w:t>
      </w:r>
    </w:p>
    <w:p>
      <w:pPr>
        <w:numPr>
          <w:ilvl w:val="0"/>
          <w:numId w:val="1012"/>
        </w:numPr>
        <w:pStyle w:val="Compact"/>
      </w:pPr>
      <w:r>
        <w:t xml:space="preserve">Akerlof, G. A. &amp; Kranton, R. E. (2000). Economics and Identity.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115(3), 715–753.</w:t>
      </w:r>
    </w:p>
    <w:p>
      <w:pPr>
        <w:numPr>
          <w:ilvl w:val="0"/>
          <w:numId w:val="1012"/>
        </w:numPr>
        <w:pStyle w:val="Compact"/>
      </w:pPr>
      <w:r>
        <w:t xml:space="preserve">Laibson, D. (1997). Golden Eggs and Hyperbolic Discounting.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112(2), 443–477.</w:t>
      </w:r>
    </w:p>
    <w:p>
      <w:pPr>
        <w:numPr>
          <w:ilvl w:val="0"/>
          <w:numId w:val="1012"/>
        </w:numPr>
        <w:pStyle w:val="Compact"/>
      </w:pPr>
      <w:r>
        <w:t xml:space="preserve">Madrian, B. C. &amp; Shea, D. F. (2001). The Power of Suggestion: Inertia in 401(k) Participation and Savings Behavior.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116(4), 1149–1187.</w:t>
      </w:r>
    </w:p>
    <w:p>
      <w:pPr>
        <w:numPr>
          <w:ilvl w:val="0"/>
          <w:numId w:val="1012"/>
        </w:numPr>
        <w:pStyle w:val="Compact"/>
      </w:pPr>
      <w:r>
        <w:t xml:space="preserve">Bénabou, R. &amp; Tirole, J. (2006). Incentives and Prosocial Behavior.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, 96(5), 1652–1678.</w:t>
      </w:r>
    </w:p>
    <w:p>
      <w:pPr>
        <w:numPr>
          <w:ilvl w:val="0"/>
          <w:numId w:val="1012"/>
        </w:numPr>
        <w:pStyle w:val="Compact"/>
      </w:pPr>
      <w:r>
        <w:t xml:space="preserve">Gao, L. et al. (2023). PAL: Program-Aided Language Models.</w:t>
      </w:r>
      <w:r>
        <w:t xml:space="preserve"> </w:t>
      </w:r>
      <w:r>
        <w:rPr>
          <w:iCs/>
          <w:i/>
        </w:rPr>
        <w:t xml:space="preserve">ICML 2023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Shumailov, I. et al. (2024). AI Models Collapse When Trained on Recursively Generated Data.</w:t>
      </w:r>
      <w:r>
        <w:t xml:space="preserve"> </w:t>
      </w:r>
      <w:r>
        <w:rPr>
          <w:iCs/>
          <w:i/>
        </w:rPr>
        <w:t xml:space="preserve">Nature</w:t>
      </w:r>
      <w:r>
        <w:t xml:space="preserve">, 631, 755–759.</w:t>
      </w:r>
    </w:p>
    <w:p>
      <w:pPr>
        <w:numPr>
          <w:ilvl w:val="0"/>
          <w:numId w:val="1012"/>
        </w:numPr>
        <w:pStyle w:val="Compact"/>
      </w:pPr>
      <w:r>
        <w:t xml:space="preserve">Lewis, P. et al. (2020). Retrieval-Augmented Generation for Knowledge-Intensive NLP Tasks.</w:t>
      </w:r>
      <w:r>
        <w:t xml:space="preserve"> </w:t>
      </w:r>
      <w:r>
        <w:rPr>
          <w:iCs/>
          <w:i/>
        </w:rPr>
        <w:t xml:space="preserve">NeurIPS 2020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Erstellt von FehrAdvice &amp; Partners AG</w:t>
      </w:r>
      <w:r>
        <w:t xml:space="preserve"> </w:t>
      </w:r>
      <w:r>
        <w:rPr>
          <w:iCs/>
          <w:i/>
        </w:rPr>
        <w:t xml:space="preserve">Evidence-Based Framework v1.27 | Februar 2026</w:t>
      </w:r>
      <w:r>
        <w:t xml:space="preserve"> </w:t>
      </w:r>
      <w:r>
        <w:rPr>
          <w:iCs/>
          <w:i/>
        </w:rPr>
        <w:t xml:space="preserve">Kontakt: info@fehradvice.com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Evidence-Based Framework for Economic and Social Behavior (EBF)</dc:title>
  <dc:creator>FehrAdvice &amp; Partners AG | Prof. Ernst Fehr</dc:creator>
  <cp:keywords/>
  <dcterms:created xsi:type="dcterms:W3CDTF">2026-02-16T10:41:39Z</dcterms:created>
  <dcterms:modified xsi:type="dcterms:W3CDTF">2026-02-16T10:41:39Z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 2026</vt:lpwstr>
  </property>
  <property fmtid="{D5CDD505-2E9C-101B-9397-08002B2CF9AE}" pid="3" name="subtitle">
    <vt:lpwstr>Comprehensive Framework Report</vt:lpwstr>
  </property>
</Properties>
</file>