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Kooperationsangebot: Behavioral Marketing @ UBS Switzerland</w:t>
      </w:r>
    </w:p>
    <w:p>
      <w:pPr>
        <w:pStyle w:val="Author"/>
      </w:pPr>
      <w:r>
        <w:t xml:space="preserve">FehrAdvice &amp; Partners AG</w:t>
      </w:r>
    </w:p>
    <w:p>
      <w:pPr>
        <w:pStyle w:val="Date"/>
      </w:pPr>
      <w:r>
        <w:t xml:space="preserve">Februar 2026</w:t>
      </w:r>
    </w:p>
    <w:bookmarkStart w:id="28" w:name="X0b576d2557e45b424a66dacfeef786250316e1a"/>
    <w:p>
      <w:pPr>
        <w:pStyle w:val="Heading1"/>
      </w:pPr>
      <w:r>
        <w:t xml:space="preserve">Kooperationsangebot: Behavioral Marketing @ UBS Switzerland</w:t>
      </w:r>
    </w:p>
    <w:p>
      <w:pPr>
        <w:pStyle w:val="FirstParagraph"/>
      </w:pPr>
      <w:r>
        <w:rPr>
          <w:bCs/>
          <w:b/>
        </w:rPr>
        <w:t xml:space="preserve">FehrAdvice &amp; Partners AG → UBS Switzerland Marketing | Februar 2026</w:t>
      </w:r>
    </w:p>
    <w:p>
      <w:r>
        <w:pict>
          <v:rect style="width:0;height:1.5pt" o:hralign="center" o:hrstd="t" o:hr="t"/>
        </w:pict>
      </w:r>
    </w:p>
    <w:bookmarkStart w:id="20" w:name="Xe1f8b841a1d413bc47f245cdf4d780c0c7a81b5"/>
    <w:p>
      <w:pPr>
        <w:pStyle w:val="Heading2"/>
      </w:pPr>
      <w:r>
        <w:t xml:space="preserve">Die Ausgangslage — und warum sie nicht reicht</w:t>
      </w:r>
    </w:p>
    <w:p>
      <w:pPr>
        <w:pStyle w:val="FirstParagraph"/>
      </w:pPr>
      <w:r>
        <w:t xml:space="preserve">UBS Marketing arbeitet heute projektbasiert mit FehrAdvice — kleine, fokussierte «Small Issue Projects» zu konkreten Fragestellungen. Diese Projekte liefern gute Ergebnisse. Aber sie haben eine strukturelle Grenze:</w:t>
      </w:r>
    </w:p>
    <w:bookmarkEnd w:id="20"/>
    <w:bookmarkStart w:id="21" w:name="Xfc414180e7562c0dc3d1e89aee1728cb6a7d3f8"/>
    <w:p>
      <w:pPr>
        <w:pStyle w:val="Heading2"/>
      </w:pPr>
      <w:r>
        <w:t xml:space="preserve">Von Einzelfragen zu strategischen Antworten</w:t>
      </w:r>
    </w:p>
    <w:p>
      <w:pPr>
        <w:pStyle w:val="FirstParagraph"/>
      </w:pPr>
      <w:r>
        <w:t xml:space="preserve">Small Issue Projects beantworten</w:t>
      </w:r>
      <w:r>
        <w:t xml:space="preserve"> </w:t>
      </w:r>
      <w:r>
        <w:rPr>
          <w:bCs/>
          <w:b/>
        </w:rPr>
        <w:t xml:space="preserve">eine</w:t>
      </w:r>
      <w:r>
        <w:t xml:space="preserve"> </w:t>
      </w:r>
      <w:r>
        <w:t xml:space="preserve">Frage. Die Themenschwerpunkte beantworten</w:t>
      </w:r>
      <w:r>
        <w:t xml:space="preserve"> </w:t>
      </w:r>
      <w:r>
        <w:rPr>
          <w:bCs/>
          <w:b/>
        </w:rPr>
        <w:t xml:space="preserve">die Frage dahinter</w:t>
      </w:r>
      <w:r>
        <w:t xml:space="preserve"> </w:t>
      </w:r>
      <w:r>
        <w:t xml:space="preserve">— und schaffen dabei Werkzeuge, die über das einzelne Projekt hinaus wirken.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Small Issue Project</w:t>
            </w:r>
          </w:p>
        </w:tc>
        <w:tc>
          <w:tcPr/>
          <w:p>
            <w:pPr>
              <w:pStyle w:val="Compact"/>
              <w:jc w:val="left"/>
            </w:pPr>
            <w:r>
              <w:t xml:space="preserve">Themenschwerpunkt</w:t>
            </w:r>
          </w:p>
        </w:tc>
      </w:tr>
      <w:tr>
        <w:tc>
          <w:tcPr/>
          <w:p>
            <w:pPr>
              <w:pStyle w:val="Compact"/>
              <w:jc w:val="left"/>
            </w:pPr>
            <w:r>
              <w:rPr>
                <w:bCs/>
                <w:b/>
              </w:rPr>
              <w:t xml:space="preserve">Typische Frage</w:t>
            </w:r>
          </w:p>
        </w:tc>
        <w:tc>
          <w:tcPr/>
          <w:p>
            <w:pPr>
              <w:pStyle w:val="Compact"/>
              <w:jc w:val="left"/>
            </w:pPr>
            <w:r>
              <w:t xml:space="preserve">«Wirkt diese Kampagne bei Key-Club-Kund:innen?»</w:t>
            </w:r>
          </w:p>
        </w:tc>
        <w:tc>
          <w:tcPr/>
          <w:p>
            <w:pPr>
              <w:pStyle w:val="Compact"/>
              <w:jc w:val="left"/>
            </w:pPr>
            <w:r>
              <w:t xml:space="preserve">«Wie unterscheiden sich UBS-Entscheidungstypen — und was bedeutet das für alle Kampagnen?»</w:t>
            </w:r>
          </w:p>
        </w:tc>
      </w:tr>
      <w:tr>
        <w:tc>
          <w:tcPr/>
          <w:p>
            <w:pPr>
              <w:pStyle w:val="Compact"/>
              <w:jc w:val="left"/>
            </w:pPr>
            <w:r>
              <w:rPr>
                <w:bCs/>
                <w:b/>
              </w:rPr>
              <w:t xml:space="preserve">Ergebnis</w:t>
            </w:r>
          </w:p>
        </w:tc>
        <w:tc>
          <w:tcPr/>
          <w:p>
            <w:pPr>
              <w:pStyle w:val="Compact"/>
              <w:jc w:val="left"/>
            </w:pPr>
            <w:r>
              <w:t xml:space="preserve">Antwort auf eine Frage: Ja/Nein, mit Empfehlung</w:t>
            </w:r>
          </w:p>
        </w:tc>
        <w:tc>
          <w:tcPr/>
          <w:p>
            <w:pPr>
              <w:pStyle w:val="Compact"/>
              <w:jc w:val="left"/>
            </w:pPr>
            <w:r>
              <w:t xml:space="preserve">System, das viele Fragen beantwortet: Segmentierung, Playbook, Entscheidungsregeln</w:t>
            </w:r>
          </w:p>
        </w:tc>
      </w:tr>
      <w:tr>
        <w:tc>
          <w:tcPr/>
          <w:p>
            <w:pPr>
              <w:pStyle w:val="Compact"/>
              <w:jc w:val="left"/>
            </w:pPr>
            <w:r>
              <w:rPr>
                <w:bCs/>
                <w:b/>
              </w:rPr>
              <w:t xml:space="preserve">Haltbarkeit</w:t>
            </w:r>
          </w:p>
        </w:tc>
        <w:tc>
          <w:tcPr/>
          <w:p>
            <w:pPr>
              <w:pStyle w:val="Compact"/>
              <w:jc w:val="left"/>
            </w:pPr>
            <w:r>
              <w:t xml:space="preserve">Einmalig — nächste Kampagne, nächstes Projekt</w:t>
            </w:r>
          </w:p>
        </w:tc>
        <w:tc>
          <w:tcPr/>
          <w:p>
            <w:pPr>
              <w:pStyle w:val="Compact"/>
              <w:jc w:val="left"/>
            </w:pPr>
            <w:r>
              <w:t xml:space="preserve">Dauerhaft — wird zum Arbeitsstandard im Team</w:t>
            </w:r>
          </w:p>
        </w:tc>
      </w:tr>
      <w:tr>
        <w:tc>
          <w:tcPr/>
          <w:p>
            <w:pPr>
              <w:pStyle w:val="Compact"/>
              <w:jc w:val="left"/>
            </w:pPr>
            <w:r>
              <w:rPr>
                <w:bCs/>
                <w:b/>
              </w:rPr>
              <w:t xml:space="preserve">Wissensaufbau</w:t>
            </w:r>
          </w:p>
        </w:tc>
        <w:tc>
          <w:tcPr/>
          <w:p>
            <w:pPr>
              <w:pStyle w:val="Compact"/>
              <w:jc w:val="left"/>
            </w:pPr>
            <w:r>
              <w:t xml:space="preserve">Bleibt im Projektbericht</w:t>
            </w:r>
          </w:p>
        </w:tc>
        <w:tc>
          <w:tcPr/>
          <w:p>
            <w:pPr>
              <w:pStyle w:val="Compact"/>
              <w:jc w:val="left"/>
            </w:pPr>
            <w:r>
              <w:t xml:space="preserve">Fliesst in BEATRIX → Modell wird mit jedem Projekt klüger</w:t>
            </w:r>
          </w:p>
        </w:tc>
      </w:tr>
      <w:tr>
        <w:tc>
          <w:tcPr/>
          <w:p>
            <w:pPr>
              <w:pStyle w:val="Compact"/>
              <w:jc w:val="left"/>
            </w:pPr>
            <w:r>
              <w:rPr>
                <w:bCs/>
                <w:b/>
              </w:rPr>
              <w:t xml:space="preserve">Verbindung</w:t>
            </w:r>
          </w:p>
        </w:tc>
        <w:tc>
          <w:tcPr/>
          <w:p>
            <w:pPr>
              <w:pStyle w:val="Compact"/>
              <w:jc w:val="left"/>
            </w:pPr>
            <w:r>
              <w:t xml:space="preserve">Steht für sich allein</w:t>
            </w:r>
          </w:p>
        </w:tc>
        <w:tc>
          <w:tcPr/>
          <w:p>
            <w:pPr>
              <w:pStyle w:val="Compact"/>
              <w:jc w:val="left"/>
            </w:pPr>
            <w:r>
              <w:t xml:space="preserve">Baut auf vorherigen Schwerpunkten auf, macht den nächsten besser</w:t>
            </w:r>
          </w:p>
        </w:tc>
      </w:tr>
      <w:tr>
        <w:tc>
          <w:tcPr/>
          <w:p>
            <w:pPr>
              <w:pStyle w:val="Compact"/>
              <w:jc w:val="left"/>
            </w:pPr>
            <w:r>
              <w:rPr>
                <w:bCs/>
                <w:b/>
              </w:rPr>
              <w:t xml:space="preserve">Reichweite</w:t>
            </w:r>
          </w:p>
        </w:tc>
        <w:tc>
          <w:tcPr/>
          <w:p>
            <w:pPr>
              <w:pStyle w:val="Compact"/>
              <w:jc w:val="left"/>
            </w:pPr>
            <w:r>
              <w:t xml:space="preserve">1 Kampagne, 1 Segment, 1 Kanal</w:t>
            </w:r>
          </w:p>
        </w:tc>
        <w:tc>
          <w:tcPr/>
          <w:p>
            <w:pPr>
              <w:pStyle w:val="Compact"/>
              <w:jc w:val="left"/>
            </w:pPr>
            <w:r>
              <w:t xml:space="preserve">Alle Kampagnen, alle Segmente, systematisch</w:t>
            </w:r>
          </w:p>
        </w:tc>
      </w:tr>
      <w:tr>
        <w:tc>
          <w:tcPr/>
          <w:p>
            <w:pPr>
              <w:pStyle w:val="Compact"/>
              <w:jc w:val="left"/>
            </w:pPr>
            <w:r>
              <w:rPr>
                <w:bCs/>
                <w:b/>
              </w:rPr>
              <w:t xml:space="preserve">Was es ersetzt</w:t>
            </w:r>
          </w:p>
        </w:tc>
        <w:tc>
          <w:tcPr/>
          <w:p>
            <w:pPr>
              <w:pStyle w:val="Compact"/>
              <w:jc w:val="left"/>
            </w:pPr>
            <w:r>
              <w:t xml:space="preserve">Nichts — zusätzlicher Aufwand</w:t>
            </w:r>
          </w:p>
        </w:tc>
        <w:tc>
          <w:tcPr/>
          <w:p>
            <w:pPr>
              <w:pStyle w:val="Compact"/>
              <w:jc w:val="left"/>
            </w:pPr>
            <w:r>
              <w:t xml:space="preserve">Ersetzt klassische Grossstudien (Investment Study, Segmentierungsstudien, Markttests) zu einem Bruchteil der Kosten</w:t>
            </w:r>
          </w:p>
        </w:tc>
      </w:tr>
    </w:tbl>
    <w:p>
      <w:pPr>
        <w:pStyle w:val="BodyText"/>
      </w:pPr>
      <w:r>
        <w:rPr>
          <w:bCs/>
          <w:b/>
        </w:rPr>
        <w:t xml:space="preserve">Ein konkretes Beispiel — die «Investment Study»:</w:t>
      </w:r>
    </w:p>
    <w:p>
      <w:pPr>
        <w:pStyle w:val="BodyText"/>
      </w:pPr>
      <w:r>
        <w:t xml:space="preserve">UBS beauftragt regelmässig empirische Grossstudien wie die «Investment Study» — breit angelegte Erhebungen, die untersuchen, was das Investitionsverhalten der Menschen in der Schweiz prägt. Solche Studien kosten typischerweise CHF 90’000–150’000 und dauern 8–12 Wochen. Ein Themenschwerpunkt «Behavioral Investment Drivers» liefert dasselbe — und mehr:</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Klassische Grossstudie</w:t>
            </w:r>
          </w:p>
        </w:tc>
        <w:tc>
          <w:tcPr/>
          <w:p>
            <w:pPr>
              <w:pStyle w:val="Compact"/>
              <w:jc w:val="left"/>
            </w:pPr>
            <w:r>
              <w:t xml:space="preserve">Themenschwerpunkt mit BEATRIX</w:t>
            </w:r>
          </w:p>
        </w:tc>
      </w:tr>
      <w:tr>
        <w:tc>
          <w:tcPr/>
          <w:p>
            <w:pPr>
              <w:pStyle w:val="Compact"/>
              <w:jc w:val="left"/>
            </w:pPr>
            <w:r>
              <w:rPr>
                <w:bCs/>
                <w:b/>
              </w:rPr>
              <w:t xml:space="preserve">Kosten</w:t>
            </w:r>
          </w:p>
        </w:tc>
        <w:tc>
          <w:tcPr/>
          <w:p>
            <w:pPr>
              <w:pStyle w:val="Compact"/>
              <w:jc w:val="left"/>
            </w:pPr>
            <w:r>
              <w:t xml:space="preserve">CHF 90’000 – 150’000</w:t>
            </w:r>
          </w:p>
        </w:tc>
        <w:tc>
          <w:tcPr/>
          <w:p>
            <w:pPr>
              <w:pStyle w:val="Compact"/>
              <w:jc w:val="left"/>
            </w:pPr>
            <w:r>
              <w:rPr>
                <w:bCs/>
                <w:b/>
              </w:rPr>
              <w:t xml:space="preserve">CHF 40’000 – 50’000</w:t>
            </w:r>
          </w:p>
        </w:tc>
      </w:tr>
      <w:tr>
        <w:tc>
          <w:tcPr/>
          <w:p>
            <w:pPr>
              <w:pStyle w:val="Compact"/>
              <w:jc w:val="left"/>
            </w:pPr>
            <w:r>
              <w:rPr>
                <w:bCs/>
                <w:b/>
              </w:rPr>
              <w:t xml:space="preserve">Dauer</w:t>
            </w:r>
          </w:p>
        </w:tc>
        <w:tc>
          <w:tcPr/>
          <w:p>
            <w:pPr>
              <w:pStyle w:val="Compact"/>
              <w:jc w:val="left"/>
            </w:pPr>
            <w:r>
              <w:t xml:space="preserve">8–12 Wochen</w:t>
            </w:r>
          </w:p>
        </w:tc>
        <w:tc>
          <w:tcPr/>
          <w:p>
            <w:pPr>
              <w:pStyle w:val="Compact"/>
              <w:jc w:val="left"/>
            </w:pPr>
            <w:r>
              <w:rPr>
                <w:bCs/>
                <w:b/>
              </w:rPr>
              <w:t xml:space="preserve">3–4 Wochen</w:t>
            </w:r>
          </w:p>
        </w:tc>
      </w:tr>
      <w:tr>
        <w:tc>
          <w:tcPr/>
          <w:p>
            <w:pPr>
              <w:pStyle w:val="Compact"/>
              <w:jc w:val="left"/>
            </w:pPr>
            <w:r>
              <w:rPr>
                <w:bCs/>
                <w:b/>
              </w:rPr>
              <w:t xml:space="preserve">Output</w:t>
            </w:r>
          </w:p>
        </w:tc>
        <w:tc>
          <w:tcPr/>
          <w:p>
            <w:pPr>
              <w:pStyle w:val="Compact"/>
              <w:jc w:val="left"/>
            </w:pPr>
            <w:r>
              <w:t xml:space="preserve">Deskriptiver Report: «So investieren Schweizer:innen»</w:t>
            </w:r>
          </w:p>
        </w:tc>
        <w:tc>
          <w:tcPr/>
          <w:p>
            <w:pPr>
              <w:pStyle w:val="Compact"/>
              <w:jc w:val="left"/>
            </w:pPr>
            <w:r>
              <w:t xml:space="preserve">Kausales Modell:</w:t>
            </w:r>
            <w:r>
              <w:t xml:space="preserve"> </w:t>
            </w:r>
            <w:r>
              <w:rPr>
                <w:bCs/>
                <w:b/>
              </w:rPr>
              <w:t xml:space="preserve">Warum</w:t>
            </w:r>
            <w:r>
              <w:t xml:space="preserve"> </w:t>
            </w:r>
            <w:r>
              <w:t xml:space="preserve">sie so investieren — und</w:t>
            </w:r>
            <w:r>
              <w:t xml:space="preserve"> </w:t>
            </w:r>
            <w:r>
              <w:rPr>
                <w:bCs/>
                <w:b/>
              </w:rPr>
              <w:t xml:space="preserve">welcher Hebel bei welchem Typ wirkt</w:t>
            </w:r>
          </w:p>
        </w:tc>
      </w:tr>
      <w:tr>
        <w:tc>
          <w:tcPr/>
          <w:p>
            <w:pPr>
              <w:pStyle w:val="Compact"/>
              <w:jc w:val="left"/>
            </w:pPr>
            <w:r>
              <w:rPr>
                <w:bCs/>
                <w:b/>
              </w:rPr>
              <w:t xml:space="preserve">Haltbarkeit</w:t>
            </w:r>
          </w:p>
        </w:tc>
        <w:tc>
          <w:tcPr/>
          <w:p>
            <w:pPr>
              <w:pStyle w:val="Compact"/>
              <w:jc w:val="left"/>
            </w:pPr>
            <w:r>
              <w:t xml:space="preserve">Veraltet nach 12–18 Monaten → nächste Studie nötig</w:t>
            </w:r>
          </w:p>
        </w:tc>
        <w:tc>
          <w:tcPr/>
          <w:p>
            <w:pPr>
              <w:pStyle w:val="Compact"/>
              <w:jc w:val="left"/>
            </w:pPr>
            <w:r>
              <w:t xml:space="preserve">BEATRIX-Modell wird laufend aktualisiert —</w:t>
            </w:r>
            <w:r>
              <w:t xml:space="preserve"> </w:t>
            </w:r>
            <w:r>
              <w:rPr>
                <w:bCs/>
                <w:b/>
              </w:rPr>
              <w:t xml:space="preserve">einmal aufgebaut, dauerhaft nutzbar</w:t>
            </w:r>
          </w:p>
        </w:tc>
      </w:tr>
      <w:tr>
        <w:tc>
          <w:tcPr/>
          <w:p>
            <w:pPr>
              <w:pStyle w:val="Compact"/>
              <w:jc w:val="left"/>
            </w:pPr>
            <w:r>
              <w:rPr>
                <w:bCs/>
                <w:b/>
              </w:rPr>
              <w:t xml:space="preserve">Anschlussfähigkeit</w:t>
            </w:r>
          </w:p>
        </w:tc>
        <w:tc>
          <w:tcPr/>
          <w:p>
            <w:pPr>
              <w:pStyle w:val="Compact"/>
              <w:jc w:val="left"/>
            </w:pPr>
            <w:r>
              <w:t xml:space="preserve">Studie steht für sich allein</w:t>
            </w:r>
          </w:p>
        </w:tc>
        <w:tc>
          <w:tcPr/>
          <w:p>
            <w:pPr>
              <w:pStyle w:val="Compact"/>
              <w:jc w:val="left"/>
            </w:pPr>
            <w:r>
              <w:t xml:space="preserve">Ergebnisse fliessen direkt in Kampagnen-Simulation und Framing-Playbooks</w:t>
            </w:r>
          </w:p>
        </w:tc>
      </w:tr>
    </w:tbl>
    <w:p>
      <w:pPr>
        <w:pStyle w:val="BodyText"/>
      </w:pPr>
      <w:r>
        <w:t xml:space="preserve">→</w:t>
      </w:r>
      <w:r>
        <w:t xml:space="preserve"> </w:t>
      </w:r>
      <w:r>
        <w:rPr>
          <w:bCs/>
          <w:b/>
        </w:rPr>
        <w:t xml:space="preserve">Ein Themenschwerpunkt ersetzt nicht nur eine Studie — er ersetzt die Notwendigkeit, dieselbe Frage alle 18 Monate neu zu beauftragen.</w:t>
      </w:r>
    </w:p>
    <w:p>
      <w:pPr>
        <w:pStyle w:val="BodyText"/>
      </w:pPr>
      <w:r>
        <w:rPr>
          <w:bCs/>
          <w:b/>
        </w:rPr>
        <w:t xml:space="preserve">Das eine schliesst das andere nicht aus.</w:t>
      </w:r>
      <w:r>
        <w:t xml:space="preserve"> </w:t>
      </w:r>
      <w:r>
        <w:t xml:space="preserve">Small Issue Projects laufen weiter. Aber sie werden wertvoller, weil ihre Erkenntnisse in die Themenschwerpunkte einfliessen — und die Themenschwerpunkte liefern den Rahmen, in dem die kleinen Projekte mehr Wirkung entfalten.</w:t>
      </w:r>
    </w:p>
    <w:p>
      <w:r>
        <w:pict>
          <v:rect style="width:0;height:1.5pt" o:hralign="center" o:hrstd="t" o:hr="t"/>
        </w:pict>
      </w:r>
    </w:p>
    <w:bookmarkEnd w:id="21"/>
    <w:bookmarkStart w:id="24" w:name="das-angebot-zwei-streams-ein-ziel"/>
    <w:p>
      <w:pPr>
        <w:pStyle w:val="Heading2"/>
      </w:pPr>
      <w:r>
        <w:t xml:space="preserve">Das Angebot: Zwei Streams, ein Ziel</w:t>
      </w:r>
    </w:p>
    <w:p>
      <w:pPr>
        <w:pStyle w:val="FirstParagraph"/>
      </w:pPr>
      <w:r>
        <w:t xml:space="preserve">Die Kooperation besteht aus zwei sich ergänzenden Streams — einem strategischen Hauptstream, der die grossen Fragen beantwortet, und einem operativen Stream, der das tägliche Arbeiten verändert.</w:t>
      </w:r>
    </w:p>
    <w:p>
      <w:r>
        <w:pict>
          <v:rect style="width:0;height:1.5pt" o:hralign="center" o:hrstd="t" o:hr="t"/>
        </w:pict>
      </w:r>
    </w:p>
    <w:bookmarkStart w:id="22" w:name="Xce8c0041ac6568d3d17672186390485d161a105"/>
    <w:p>
      <w:pPr>
        <w:pStyle w:val="Heading3"/>
      </w:pPr>
      <w:r>
        <w:t xml:space="preserve">Stream 1 — Strategic: Die grossen Fragen beantworten</w:t>
      </w:r>
    </w:p>
    <w:p>
      <w:pPr>
        <w:pStyle w:val="FirstParagraph"/>
      </w:pPr>
      <w:r>
        <w:rPr>
          <w:bCs/>
          <w:b/>
        </w:rPr>
        <w:t xml:space="preserve">Das Prinzip:</w:t>
      </w:r>
      <w:r>
        <w:t xml:space="preserve"> </w:t>
      </w:r>
      <w:r>
        <w:t xml:space="preserve">Die laufenden Small Issue Projects mit UBS zeigen, welche strategischen Themen für Marketing relevant sind. Aus diesen Fragestellungen ergeben sich jährlich</w:t>
      </w:r>
      <w:r>
        <w:t xml:space="preserve"> </w:t>
      </w:r>
      <w:r>
        <w:rPr>
          <w:bCs/>
          <w:b/>
        </w:rPr>
        <w:t xml:space="preserve">mindestens 4 grössere Themenschwerpunkte</w:t>
      </w:r>
      <w:r>
        <w:t xml:space="preserve"> </w:t>
      </w:r>
      <w:r>
        <w:t xml:space="preserve">— marktgetrieben, nicht theoretisch.</w:t>
      </w:r>
    </w:p>
    <w:p>
      <w:pPr>
        <w:pStyle w:val="BodyText"/>
      </w:pPr>
      <w:r>
        <w:rPr>
          <w:bCs/>
          <w:b/>
        </w:rPr>
        <w:t xml:space="preserve">Beispiele für Themenschwerpunkte 2026/27:</w:t>
      </w:r>
    </w:p>
    <w:tbl>
      <w:tblPr>
        <w:tblStyle w:val="Table"/>
        <w:tblW w:type="pct" w:w="5000"/>
        <w:tblLook w:firstRow="1" w:lastRow="0" w:firstColumn="0" w:lastColumn="0" w:noHBand="0" w:noVBand="0" w:val="0020"/>
        <w:jc w:val="start"/>
      </w:tblPr>
      <w:tblGrid>
        <w:gridCol w:w="325"/>
        <w:gridCol w:w="759"/>
        <w:gridCol w:w="4556"/>
        <w:gridCol w:w="2278"/>
      </w:tblGrid>
      <w:tr>
        <w:trPr>
          <w:tblHeader w:val="true"/>
        </w:trPr>
        <w:tc>
          <w:tcPr/>
          <w:p>
            <w:pPr>
              <w:pStyle w:val="Compact"/>
              <w:jc w:val="left"/>
            </w:pPr>
            <w:r>
              <w:t xml:space="preserve">#</w:t>
            </w:r>
          </w:p>
        </w:tc>
        <w:tc>
          <w:tcPr/>
          <w:p>
            <w:pPr>
              <w:pStyle w:val="Compact"/>
              <w:jc w:val="left"/>
            </w:pPr>
            <w:r>
              <w:t xml:space="preserve">Thema</w:t>
            </w:r>
          </w:p>
        </w:tc>
        <w:tc>
          <w:tcPr/>
          <w:p>
            <w:pPr>
              <w:pStyle w:val="Compact"/>
              <w:jc w:val="left"/>
            </w:pPr>
            <w:r>
              <w:t xml:space="preserve">Entsteht aus Small Issue Projects wie…</w:t>
            </w:r>
          </w:p>
        </w:tc>
        <w:tc>
          <w:tcPr/>
          <w:p>
            <w:pPr>
              <w:pStyle w:val="Compact"/>
              <w:jc w:val="left"/>
            </w:pPr>
            <w:r>
              <w:t xml:space="preserve">Strategische Frage</w:t>
            </w:r>
          </w:p>
        </w:tc>
      </w:tr>
      <w:tr>
        <w:tc>
          <w:tcPr/>
          <w:p>
            <w:pPr>
              <w:pStyle w:val="Compact"/>
              <w:jc w:val="left"/>
            </w:pPr>
            <w:r>
              <w:t xml:space="preserve">1</w:t>
            </w:r>
          </w:p>
        </w:tc>
        <w:tc>
          <w:tcPr/>
          <w:p>
            <w:pPr>
              <w:pStyle w:val="Compact"/>
              <w:jc w:val="left"/>
            </w:pPr>
            <w:r>
              <w:t xml:space="preserve">Behavioral Segmentation</w:t>
            </w:r>
          </w:p>
        </w:tc>
        <w:tc>
          <w:tcPr/>
          <w:p>
            <w:pPr>
              <w:pStyle w:val="Compact"/>
              <w:jc w:val="left"/>
            </w:pPr>
            <w:r>
              <w:t xml:space="preserve">«Wie reagieren Key-Club-Kund:innen auf X?»</w:t>
            </w:r>
          </w:p>
        </w:tc>
        <w:tc>
          <w:tcPr/>
          <w:p>
            <w:pPr>
              <w:pStyle w:val="Compact"/>
              <w:jc w:val="left"/>
            </w:pPr>
            <w:r>
              <w:t xml:space="preserve">Wie unterscheiden sich</w:t>
            </w:r>
            <w:r>
              <w:t xml:space="preserve"> </w:t>
            </w:r>
            <w:r>
              <w:rPr>
                <w:bCs/>
                <w:b/>
              </w:rPr>
              <w:t xml:space="preserve">alle</w:t>
            </w:r>
            <w:r>
              <w:t xml:space="preserve"> </w:t>
            </w:r>
            <w:r>
              <w:t xml:space="preserve">UBS-Entscheidungstypen — und was folgt daraus für</w:t>
            </w:r>
            <w:r>
              <w:t xml:space="preserve"> </w:t>
            </w:r>
            <w:r>
              <w:rPr>
                <w:bCs/>
                <w:b/>
              </w:rPr>
              <w:t xml:space="preserve">jede</w:t>
            </w:r>
            <w:r>
              <w:t xml:space="preserve"> </w:t>
            </w:r>
            <w:r>
              <w:t xml:space="preserve">Kampagne?</w:t>
            </w:r>
          </w:p>
        </w:tc>
      </w:tr>
      <w:tr>
        <w:tc>
          <w:tcPr/>
          <w:p>
            <w:pPr>
              <w:pStyle w:val="Compact"/>
              <w:jc w:val="left"/>
            </w:pPr>
            <w:r>
              <w:t xml:space="preserve">2</w:t>
            </w:r>
          </w:p>
        </w:tc>
        <w:tc>
          <w:tcPr/>
          <w:p>
            <w:pPr>
              <w:pStyle w:val="Compact"/>
              <w:jc w:val="left"/>
            </w:pPr>
            <w:r>
              <w:t xml:space="preserve">Framing &amp; Kommunikation</w:t>
            </w:r>
          </w:p>
        </w:tc>
        <w:tc>
          <w:tcPr/>
          <w:p>
            <w:pPr>
              <w:pStyle w:val="Compact"/>
              <w:jc w:val="left"/>
            </w:pPr>
            <w:r>
              <w:t xml:space="preserve">«Welcher Headline-Typ wirkt besser?»</w:t>
            </w:r>
          </w:p>
        </w:tc>
        <w:tc>
          <w:tcPr/>
          <w:p>
            <w:pPr>
              <w:pStyle w:val="Compact"/>
              <w:jc w:val="left"/>
            </w:pPr>
            <w:r>
              <w:t xml:space="preserve">Welche Frames wirken bei welchem Entscheidungstyp — und wie baut man ein</w:t>
            </w:r>
            <w:r>
              <w:t xml:space="preserve"> </w:t>
            </w:r>
            <w:r>
              <w:rPr>
                <w:bCs/>
                <w:b/>
              </w:rPr>
              <w:t xml:space="preserve">Playbook</w:t>
            </w:r>
            <w:r>
              <w:t xml:space="preserve">, das das Team selbst nutzen kann?</w:t>
            </w:r>
          </w:p>
        </w:tc>
      </w:tr>
      <w:tr>
        <w:tc>
          <w:tcPr/>
          <w:p>
            <w:pPr>
              <w:pStyle w:val="Compact"/>
              <w:jc w:val="left"/>
            </w:pPr>
            <w:r>
              <w:t xml:space="preserve">3</w:t>
            </w:r>
          </w:p>
        </w:tc>
        <w:tc>
          <w:tcPr/>
          <w:p>
            <w:pPr>
              <w:pStyle w:val="Compact"/>
              <w:jc w:val="left"/>
            </w:pPr>
            <w:r>
              <w:t xml:space="preserve">Journey Friction</w:t>
            </w:r>
          </w:p>
        </w:tc>
        <w:tc>
          <w:tcPr/>
          <w:p>
            <w:pPr>
              <w:pStyle w:val="Compact"/>
              <w:jc w:val="left"/>
            </w:pPr>
            <w:r>
              <w:t xml:space="preserve">«Warum brechen Kund:innen hier ab?»</w:t>
            </w:r>
          </w:p>
        </w:tc>
        <w:tc>
          <w:tcPr/>
          <w:p>
            <w:pPr>
              <w:pStyle w:val="Compact"/>
              <w:jc w:val="left"/>
            </w:pPr>
            <w:r>
              <w:t xml:space="preserve">Wo verliert UBS systematisch Kund:innen — nicht wegen des Produkts, sondern wegen der</w:t>
            </w:r>
            <w:r>
              <w:t xml:space="preserve"> </w:t>
            </w:r>
            <w:r>
              <w:rPr>
                <w:bCs/>
                <w:b/>
              </w:rPr>
              <w:t xml:space="preserve">Entscheidungsarchitektur</w:t>
            </w:r>
            <w:r>
              <w:t xml:space="preserve">?</w:t>
            </w:r>
          </w:p>
        </w:tc>
      </w:tr>
      <w:tr>
        <w:tc>
          <w:tcPr/>
          <w:p>
            <w:pPr>
              <w:pStyle w:val="Compact"/>
              <w:jc w:val="left"/>
            </w:pPr>
            <w:r>
              <w:t xml:space="preserve">4</w:t>
            </w:r>
          </w:p>
        </w:tc>
        <w:tc>
          <w:tcPr/>
          <w:p>
            <w:pPr>
              <w:pStyle w:val="Compact"/>
              <w:jc w:val="left"/>
            </w:pPr>
            <w:r>
              <w:t xml:space="preserve">GenAI × Behavioral Science</w:t>
            </w:r>
          </w:p>
        </w:tc>
        <w:tc>
          <w:tcPr/>
          <w:p>
            <w:pPr>
              <w:pStyle w:val="Compact"/>
              <w:jc w:val="left"/>
            </w:pPr>
            <w:r>
              <w:t xml:space="preserve">«Kann der Chatbot besser beraten?»</w:t>
            </w:r>
          </w:p>
        </w:tc>
        <w:tc>
          <w:tcPr/>
          <w:p>
            <w:pPr>
              <w:pStyle w:val="Compact"/>
              <w:jc w:val="left"/>
            </w:pPr>
            <w:r>
              <w:t xml:space="preserve">Wie steuert man GenAI-Tools so, dass sie menschliches</w:t>
            </w:r>
            <w:r>
              <w:t xml:space="preserve"> </w:t>
            </w:r>
            <w:r>
              <w:rPr>
                <w:bCs/>
                <w:b/>
              </w:rPr>
              <w:t xml:space="preserve">Entscheidungsverhalten</w:t>
            </w:r>
            <w:r>
              <w:t xml:space="preserve"> </w:t>
            </w:r>
            <w:r>
              <w:t xml:space="preserve">berücksichtigen statt nur Inhalte zu optimieren?</w:t>
            </w:r>
          </w:p>
        </w:tc>
      </w:tr>
    </w:tbl>
    <w:p>
      <w:pPr>
        <w:pStyle w:val="BodyText"/>
      </w:pPr>
      <w:r>
        <w:rPr>
          <w:bCs/>
          <w:b/>
        </w:rPr>
        <w:t xml:space="preserve">Investition pro Themenschwerpunkt:</w:t>
      </w:r>
      <w:r>
        <w:t xml:space="preserve"> </w:t>
      </w:r>
      <w:r>
        <w:t xml:space="preserve">CHF 40’000 – 50’000</w:t>
      </w:r>
    </w:p>
    <w:p>
      <w:pPr>
        <w:pStyle w:val="BodyText"/>
      </w:pPr>
      <w:r>
        <w:rPr>
          <w:bCs/>
          <w:b/>
        </w:rPr>
        <w:t xml:space="preserve">Was UBS aus jedem Themenschwerpunkt bekommt (3 Output-Typen):</w:t>
      </w:r>
    </w:p>
    <w:p>
      <w:pPr>
        <w:numPr>
          <w:ilvl w:val="0"/>
          <w:numId w:val="1001"/>
        </w:numPr>
        <w:pStyle w:val="Compact"/>
      </w:pPr>
      <w:r>
        <w:rPr>
          <w:bCs/>
          <w:b/>
        </w:rPr>
        <w:t xml:space="preserve">Wertstiftende Outputs:</w:t>
      </w:r>
      <w:r>
        <w:t xml:space="preserve"> </w:t>
      </w:r>
      <w:r>
        <w:t xml:space="preserve">Konkrete Antworten auf die strategische Frage — Was muss man tun? Was kann man lancieren? Wo sind die grössten Hebel?</w:t>
      </w:r>
    </w:p>
    <w:p>
      <w:pPr>
        <w:numPr>
          <w:ilvl w:val="0"/>
          <w:numId w:val="1001"/>
        </w:numPr>
        <w:pStyle w:val="Compact"/>
      </w:pPr>
      <w:r>
        <w:rPr>
          <w:bCs/>
          <w:b/>
        </w:rPr>
        <w:t xml:space="preserve">Efficiency-Outputs:</w:t>
      </w:r>
      <w:r>
        <w:t xml:space="preserve"> </w:t>
      </w:r>
      <w:r>
        <w:t xml:space="preserve">Werkzeuge, mit denen Marketing in Zukunft</w:t>
      </w:r>
      <w:r>
        <w:t xml:space="preserve"> </w:t>
      </w:r>
      <w:r>
        <w:rPr>
          <w:bCs/>
          <w:b/>
        </w:rPr>
        <w:t xml:space="preserve">schneller und selbständiger</w:t>
      </w:r>
      <w:r>
        <w:t xml:space="preserve"> </w:t>
      </w:r>
      <w:r>
        <w:t xml:space="preserve">arbeiten kann — Playbooks, Templates, Entscheidungsregeln</w:t>
      </w:r>
    </w:p>
    <w:p>
      <w:pPr>
        <w:numPr>
          <w:ilvl w:val="0"/>
          <w:numId w:val="1001"/>
        </w:numPr>
        <w:pStyle w:val="Compact"/>
      </w:pPr>
      <w:r>
        <w:rPr>
          <w:bCs/>
          <w:b/>
        </w:rPr>
        <w:t xml:space="preserve">BEATRIX-Eichung:</w:t>
      </w:r>
      <w:r>
        <w:t xml:space="preserve"> </w:t>
      </w:r>
      <w:r>
        <w:t xml:space="preserve">Mit jedem Projekt wird BEATRIX</w:t>
      </w:r>
      <w:r>
        <w:t xml:space="preserve"> </w:t>
      </w:r>
      <w:r>
        <w:rPr>
          <w:bCs/>
          <w:b/>
        </w:rPr>
        <w:t xml:space="preserve">präziser auf UBS kalibriert</w:t>
      </w:r>
      <w:r>
        <w:t xml:space="preserve"> </w:t>
      </w:r>
      <w:r>
        <w:t xml:space="preserve">— das Modell lernt, und die nächste Analyse wird besser und günstiger</w:t>
      </w:r>
    </w:p>
    <w:p>
      <w:pPr>
        <w:pStyle w:val="FirstParagraph"/>
      </w:pPr>
      <w:r>
        <w:rPr>
          <w:bCs/>
          <w:b/>
        </w:rPr>
        <w:t xml:space="preserve">Optional: Empirische Validierung</w:t>
      </w:r>
    </w:p>
    <w:p>
      <w:pPr>
        <w:pStyle w:val="BodyText"/>
      </w:pPr>
      <w:r>
        <w:t xml:space="preserve">Nach jedem Themenschwerpunkt kann UBS entscheiden, ob zusätzliche Empirie nötig ist. Weil BEATRIX die Hypothesen vorab schärft und die Stichprobe fokussiert: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Klassisch</w:t>
            </w:r>
          </w:p>
        </w:tc>
        <w:tc>
          <w:tcPr/>
          <w:p>
            <w:pPr>
              <w:pStyle w:val="Compact"/>
              <w:jc w:val="left"/>
            </w:pPr>
            <w:r>
              <w:t xml:space="preserve">Mit BEATRIX-Vorarbeit</w:t>
            </w:r>
          </w:p>
        </w:tc>
      </w:tr>
      <w:tr>
        <w:tc>
          <w:tcPr/>
          <w:p>
            <w:pPr>
              <w:pStyle w:val="Compact"/>
              <w:jc w:val="left"/>
            </w:pPr>
            <w:r>
              <w:t xml:space="preserve">Kosten pro Studie</w:t>
            </w:r>
          </w:p>
        </w:tc>
        <w:tc>
          <w:tcPr/>
          <w:p>
            <w:pPr>
              <w:pStyle w:val="Compact"/>
              <w:jc w:val="left"/>
            </w:pPr>
            <w:r>
              <w:t xml:space="preserve">CHF 90’000 – 100’000</w:t>
            </w:r>
          </w:p>
        </w:tc>
        <w:tc>
          <w:tcPr/>
          <w:p>
            <w:pPr>
              <w:pStyle w:val="Compact"/>
              <w:jc w:val="left"/>
            </w:pPr>
            <w:r>
              <w:rPr>
                <w:bCs/>
                <w:b/>
              </w:rPr>
              <w:t xml:space="preserve">CHF 40’000 – 50’000</w:t>
            </w:r>
          </w:p>
        </w:tc>
      </w:tr>
      <w:tr>
        <w:tc>
          <w:tcPr/>
          <w:p>
            <w:pPr>
              <w:pStyle w:val="Compact"/>
              <w:jc w:val="left"/>
            </w:pPr>
            <w:r>
              <w:t xml:space="preserve">Dauer</w:t>
            </w:r>
          </w:p>
        </w:tc>
        <w:tc>
          <w:tcPr/>
          <w:p>
            <w:pPr>
              <w:pStyle w:val="Compact"/>
              <w:jc w:val="left"/>
            </w:pPr>
            <w:r>
              <w:t xml:space="preserve">8–12 Wochen</w:t>
            </w:r>
          </w:p>
        </w:tc>
        <w:tc>
          <w:tcPr/>
          <w:p>
            <w:pPr>
              <w:pStyle w:val="Compact"/>
              <w:jc w:val="left"/>
            </w:pPr>
            <w:r>
              <w:rPr>
                <w:bCs/>
                <w:b/>
              </w:rPr>
              <w:t xml:space="preserve">3–5 Wochen</w:t>
            </w:r>
          </w:p>
        </w:tc>
      </w:tr>
      <w:tr>
        <w:tc>
          <w:tcPr/>
          <w:p>
            <w:pPr>
              <w:pStyle w:val="Compact"/>
              <w:jc w:val="left"/>
            </w:pPr>
            <w:r>
              <w:t xml:space="preserve">Hypothesen-Qualität</w:t>
            </w:r>
          </w:p>
        </w:tc>
        <w:tc>
          <w:tcPr/>
          <w:p>
            <w:pPr>
              <w:pStyle w:val="Compact"/>
              <w:jc w:val="left"/>
            </w:pPr>
            <w:r>
              <w:t xml:space="preserve">Breit, explorative</w:t>
            </w:r>
          </w:p>
        </w:tc>
        <w:tc>
          <w:tcPr/>
          <w:p>
            <w:pPr>
              <w:pStyle w:val="Compact"/>
              <w:jc w:val="left"/>
            </w:pPr>
            <w:r>
              <w:t xml:space="preserve">Fokussiert, BEATRIX-kalibriert</w:t>
            </w:r>
          </w:p>
        </w:tc>
      </w:tr>
    </w:tbl>
    <w:p>
      <w:pPr>
        <w:pStyle w:val="BodyText"/>
      </w:pPr>
      <w:r>
        <w:t xml:space="preserve">→</w:t>
      </w:r>
      <w:r>
        <w:t xml:space="preserve"> </w:t>
      </w:r>
      <w:r>
        <w:rPr>
          <w:bCs/>
          <w:b/>
        </w:rPr>
        <w:t xml:space="preserve">Die Empirie wird billiger, schneller und besser — weil BEATRIX die Vorarbeit leistet.</w:t>
      </w:r>
    </w:p>
    <w:p>
      <w:r>
        <w:pict>
          <v:rect style="width:0;height:1.5pt" o:hralign="center" o:hrstd="t" o:hr="t"/>
        </w:pict>
      </w:r>
    </w:p>
    <w:bookmarkEnd w:id="22"/>
    <w:bookmarkStart w:id="23" w:name="Xed98bafc3c195414a594dc0fb06df89b775a02d"/>
    <w:p>
      <w:pPr>
        <w:pStyle w:val="Heading3"/>
      </w:pPr>
      <w:r>
        <w:t xml:space="preserve">Stream 2 — Operational: Das tägliche Marketing verändern</w:t>
      </w:r>
    </w:p>
    <w:p>
      <w:pPr>
        <w:pStyle w:val="FirstParagraph"/>
      </w:pPr>
      <w:r>
        <w:rPr>
          <w:bCs/>
          <w:b/>
        </w:rPr>
        <w:t xml:space="preserve">Das Prinzip:</w:t>
      </w:r>
      <w:r>
        <w:t xml:space="preserve"> </w:t>
      </w:r>
      <w:r>
        <w:t xml:space="preserve">FehrAdvice betreibt BEATRIX als permanente Analyse- und Simulationsinfrastruktur für UBS Marketing. Alles, was getestet, simuliert oder operationalisiert werden muss, läuft über diesen Stream.</w:t>
      </w:r>
    </w:p>
    <w:p>
      <w:pPr>
        <w:pStyle w:val="BodyText"/>
      </w:pPr>
      <w:r>
        <w:rPr>
          <w:bCs/>
          <w:b/>
        </w:rPr>
        <w:t xml:space="preserve">Enthalten im Jahresretainer (CHF 100’000):</w:t>
      </w:r>
    </w:p>
    <w:p>
      <w:pPr>
        <w:numPr>
          <w:ilvl w:val="0"/>
          <w:numId w:val="1002"/>
        </w:numPr>
        <w:pStyle w:val="Compact"/>
      </w:pPr>
      <w:r>
        <w:rPr>
          <w:bCs/>
          <w:b/>
        </w:rPr>
        <w:t xml:space="preserve">BEATRIX Setup &amp; Maintenance</w:t>
      </w:r>
      <w:r>
        <w:t xml:space="preserve"> </w:t>
      </w:r>
      <w:r>
        <w:t xml:space="preserve">— Aufbau, Pflege und kontinuierliche Kalibrierung des UBS-Modells (BEATRIX bleibt bei FehrAdvice, nicht bei UBS)</w:t>
      </w:r>
    </w:p>
    <w:p>
      <w:pPr>
        <w:numPr>
          <w:ilvl w:val="0"/>
          <w:numId w:val="1002"/>
        </w:numPr>
        <w:pStyle w:val="Compact"/>
      </w:pPr>
      <w:r>
        <w:rPr>
          <w:bCs/>
          <w:b/>
        </w:rPr>
        <w:t xml:space="preserve">Simulation on Demand</w:t>
      </w:r>
      <w:r>
        <w:t xml:space="preserve"> </w:t>
      </w:r>
      <w:r>
        <w:t xml:space="preserve">— Kampagnen-Varianten, Framing-Optionen und Journey-Änderungen jederzeit durch Silicon Samples testen</w:t>
      </w:r>
    </w:p>
    <w:p>
      <w:pPr>
        <w:numPr>
          <w:ilvl w:val="0"/>
          <w:numId w:val="1002"/>
        </w:numPr>
        <w:pStyle w:val="Compact"/>
      </w:pPr>
      <w:r>
        <w:rPr>
          <w:bCs/>
          <w:b/>
        </w:rPr>
        <w:t xml:space="preserve">Operationalisierung</w:t>
      </w:r>
      <w:r>
        <w:t xml:space="preserve"> </w:t>
      </w:r>
      <w:r>
        <w:t xml:space="preserve">— Ergebnisse aus Stream 1 in nutzbare Formate übersetzen: Playbooks, Entscheidungsbäume, Team-Briefings</w:t>
      </w:r>
    </w:p>
    <w:p>
      <w:pPr>
        <w:numPr>
          <w:ilvl w:val="0"/>
          <w:numId w:val="1002"/>
        </w:numPr>
        <w:pStyle w:val="Compact"/>
      </w:pPr>
      <w:r>
        <w:rPr>
          <w:bCs/>
          <w:b/>
        </w:rPr>
        <w:t xml:space="preserve">Quartalsweise Strategy Sessions</w:t>
      </w:r>
      <w:r>
        <w:t xml:space="preserve"> </w:t>
      </w:r>
      <w:r>
        <w:t xml:space="preserve">— Halbtägige Reviews: Wo stehen wir? Was priorisieren wir? Welche neuen Fragen tauchen auf?</w:t>
      </w:r>
    </w:p>
    <w:p>
      <w:pPr>
        <w:numPr>
          <w:ilvl w:val="0"/>
          <w:numId w:val="1002"/>
        </w:numPr>
        <w:pStyle w:val="Compact"/>
      </w:pPr>
      <w:r>
        <w:rPr>
          <w:bCs/>
          <w:b/>
        </w:rPr>
        <w:t xml:space="preserve">Laufende Behavioral Checks</w:t>
      </w:r>
      <w:r>
        <w:t xml:space="preserve"> </w:t>
      </w:r>
      <w:r>
        <w:t xml:space="preserve">— Neue Touchpoints, Kampagnen oder Kanäle werden vor Launch durch BEATRIX geprüft</w:t>
      </w:r>
    </w:p>
    <w:p>
      <w:r>
        <w:pict>
          <v:rect style="width:0;height:1.5pt" o:hralign="center" o:hrstd="t" o:hr="t"/>
        </w:pict>
      </w:r>
    </w:p>
    <w:bookmarkEnd w:id="23"/>
    <w:bookmarkEnd w:id="24"/>
    <w:bookmarkStart w:id="25" w:name="gesamtbild-was-kostet-es-was-bringt-es"/>
    <w:p>
      <w:pPr>
        <w:pStyle w:val="Heading2"/>
      </w:pPr>
      <w:r>
        <w:t xml:space="preserve">Gesamtbild: Was kostet es, was bringt es?</w:t>
      </w:r>
    </w:p>
    <w:p>
      <w:pPr>
        <w:pStyle w:val="SourceCode"/>
      </w:pPr>
      <w:r>
        <w:rPr>
          <w:rStyle w:val="VerbatimChar"/>
        </w:rPr>
        <w:t xml:space="preserve">┌──────────────────────────────────────────────────────────────────────┐</w:t>
      </w:r>
      <w:r>
        <w:br/>
      </w:r>
      <w:r>
        <w:rPr>
          <w:rStyle w:val="VerbatimChar"/>
        </w:rPr>
        <w:t xml:space="preserve">│                                                                      │</w:t>
      </w:r>
      <w:r>
        <w:br/>
      </w:r>
      <w:r>
        <w:rPr>
          <w:rStyle w:val="VerbatimChar"/>
        </w:rPr>
        <w:t xml:space="preserve">│  STREAM 2 — OPERATIONAL (Retainer)                                   │</w:t>
      </w:r>
      <w:r>
        <w:br/>
      </w:r>
      <w:r>
        <w:rPr>
          <w:rStyle w:val="VerbatimChar"/>
        </w:rPr>
        <w:t xml:space="preserve">│  BEATRIX, Simulation, Operationalisierung           CHF 100'000/Jahr │</w:t>
      </w:r>
      <w:r>
        <w:br/>
      </w:r>
      <w:r>
        <w:rPr>
          <w:rStyle w:val="VerbatimChar"/>
        </w:rPr>
        <w:t xml:space="preserve">│                                                                      │</w:t>
      </w:r>
      <w:r>
        <w:br/>
      </w:r>
      <w:r>
        <w:rPr>
          <w:rStyle w:val="VerbatimChar"/>
        </w:rPr>
        <w:t xml:space="preserve">│  STREAM 1 — STRATEGIC (Themenschwerpunkte)                           │</w:t>
      </w:r>
      <w:r>
        <w:br/>
      </w:r>
      <w:r>
        <w:rPr>
          <w:rStyle w:val="VerbatimChar"/>
        </w:rPr>
        <w:t xml:space="preserve">│  Mind. 4 Projekte × CHF 40'000–50'000              CHF 160'000–200'000│</w:t>
      </w:r>
      <w:r>
        <w:br/>
      </w:r>
      <w:r>
        <w:rPr>
          <w:rStyle w:val="VerbatimChar"/>
        </w:rPr>
        <w:t xml:space="preserve">│                                                                      │</w:t>
      </w:r>
      <w:r>
        <w:br/>
      </w:r>
      <w:r>
        <w:rPr>
          <w:rStyle w:val="VerbatimChar"/>
        </w:rPr>
        <w:t xml:space="preserve">│  OPTIONAL: Empirische Validierung                                    │</w:t>
      </w:r>
      <w:r>
        <w:br/>
      </w:r>
      <w:r>
        <w:rPr>
          <w:rStyle w:val="VerbatimChar"/>
        </w:rPr>
        <w:t xml:space="preserve">│  Nach Bedarf × CHF 40'000–50'000                    CHF variabel     │</w:t>
      </w:r>
      <w:r>
        <w:br/>
      </w:r>
      <w:r>
        <w:rPr>
          <w:rStyle w:val="VerbatimChar"/>
        </w:rPr>
        <w:t xml:space="preserve">│                                                                      │</w:t>
      </w:r>
      <w:r>
        <w:br/>
      </w:r>
      <w:r>
        <w:rPr>
          <w:rStyle w:val="VerbatimChar"/>
        </w:rPr>
        <w:t xml:space="preserve">│  ────────────────────────────────────────────────────────────────    │</w:t>
      </w:r>
      <w:r>
        <w:br/>
      </w:r>
      <w:r>
        <w:rPr>
          <w:rStyle w:val="VerbatimChar"/>
        </w:rPr>
        <w:t xml:space="preserve">│  Jährliche Gesamtinvestition (ohne Empirie):    CHF 260'000–300'000  │</w:t>
      </w:r>
      <w:r>
        <w:br/>
      </w:r>
      <w:r>
        <w:rPr>
          <w:rStyle w:val="VerbatimChar"/>
        </w:rPr>
        <w:t xml:space="preserve">│                                                                      │</w:t>
      </w:r>
      <w:r>
        <w:br/>
      </w:r>
      <w:r>
        <w:rPr>
          <w:rStyle w:val="VerbatimChar"/>
        </w:rPr>
        <w:t xml:space="preserve">└──────────────────────────────────────────────────────────────────────┘</w:t>
      </w:r>
    </w:p>
    <w:p>
      <w:pPr>
        <w:pStyle w:val="FirstParagraph"/>
      </w:pPr>
      <w:r>
        <w:rPr>
          <w:bCs/>
          <w:b/>
        </w:rPr>
        <w:t xml:space="preserve">Was das ersetzt — eine realistische Rechnung:</w:t>
      </w:r>
    </w:p>
    <w:p>
      <w:pPr>
        <w:pStyle w:val="BodyText"/>
      </w:pPr>
      <w:r>
        <w:t xml:space="preserve">UBS Marketing beauftragt heute verschiedene empirische Studien pro Jahr — Investment Studies, Segmentierungsstudien, Kampagnen-Pretests, Journey-Analysen. Jede davon kostet CHF 90’000–150’000. Die Themenschwerpunkte decken dieselben strategischen Fragen ab — und liefern mehr:</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Heutige Studien (Beispiele)</w:t>
            </w:r>
          </w:p>
        </w:tc>
        <w:tc>
          <w:tcPr/>
          <w:p>
            <w:pPr>
              <w:pStyle w:val="Compact"/>
              <w:jc w:val="left"/>
            </w:pPr>
            <w:r>
              <w:t xml:space="preserve">Kosten heute</w:t>
            </w:r>
          </w:p>
        </w:tc>
        <w:tc>
          <w:tcPr/>
          <w:p>
            <w:pPr>
              <w:pStyle w:val="Compact"/>
              <w:jc w:val="left"/>
            </w:pPr>
            <w:r>
              <w:t xml:space="preserve">Abgedeckt durch Themenschwerpunkt</w:t>
            </w:r>
          </w:p>
        </w:tc>
        <w:tc>
          <w:tcPr/>
          <w:p>
            <w:pPr>
              <w:pStyle w:val="Compact"/>
              <w:jc w:val="left"/>
            </w:pPr>
            <w:r>
              <w:t xml:space="preserve">Kosten neu</w:t>
            </w:r>
          </w:p>
        </w:tc>
      </w:tr>
      <w:tr>
        <w:tc>
          <w:tcPr/>
          <w:p>
            <w:pPr>
              <w:pStyle w:val="Compact"/>
              <w:jc w:val="left"/>
            </w:pPr>
            <w:r>
              <w:t xml:space="preserve">Investment Study (alle 18 Monate)</w:t>
            </w:r>
          </w:p>
        </w:tc>
        <w:tc>
          <w:tcPr/>
          <w:p>
            <w:pPr>
              <w:pStyle w:val="Compact"/>
              <w:jc w:val="left"/>
            </w:pPr>
            <w:r>
              <w:t xml:space="preserve">CHF 120’000</w:t>
            </w:r>
          </w:p>
        </w:tc>
        <w:tc>
          <w:tcPr/>
          <w:p>
            <w:pPr>
              <w:pStyle w:val="Compact"/>
              <w:jc w:val="left"/>
            </w:pPr>
            <w:r>
              <w:t xml:space="preserve">Behavioral Investment Drivers</w:t>
            </w:r>
          </w:p>
        </w:tc>
        <w:tc>
          <w:tcPr/>
          <w:p>
            <w:pPr>
              <w:pStyle w:val="Compact"/>
              <w:jc w:val="left"/>
            </w:pPr>
            <w:r>
              <w:t xml:space="preserve">CHF 40–50k</w:t>
            </w:r>
          </w:p>
        </w:tc>
      </w:tr>
      <w:tr>
        <w:tc>
          <w:tcPr/>
          <w:p>
            <w:pPr>
              <w:pStyle w:val="Compact"/>
              <w:jc w:val="left"/>
            </w:pPr>
            <w:r>
              <w:t xml:space="preserve">Segmentierungsstudie</w:t>
            </w:r>
          </w:p>
        </w:tc>
        <w:tc>
          <w:tcPr/>
          <w:p>
            <w:pPr>
              <w:pStyle w:val="Compact"/>
              <w:jc w:val="left"/>
            </w:pPr>
            <w:r>
              <w:t xml:space="preserve">CHF 100’000</w:t>
            </w:r>
          </w:p>
        </w:tc>
        <w:tc>
          <w:tcPr/>
          <w:p>
            <w:pPr>
              <w:pStyle w:val="Compact"/>
              <w:jc w:val="left"/>
            </w:pPr>
            <w:r>
              <w:t xml:space="preserve">Behavioral Segmentation</w:t>
            </w:r>
          </w:p>
        </w:tc>
        <w:tc>
          <w:tcPr/>
          <w:p>
            <w:pPr>
              <w:pStyle w:val="Compact"/>
              <w:jc w:val="left"/>
            </w:pPr>
            <w:r>
              <w:t xml:space="preserve">CHF 40–50k</w:t>
            </w:r>
          </w:p>
        </w:tc>
      </w:tr>
      <w:tr>
        <w:tc>
          <w:tcPr/>
          <w:p>
            <w:pPr>
              <w:pStyle w:val="Compact"/>
              <w:jc w:val="left"/>
            </w:pPr>
            <w:r>
              <w:t xml:space="preserve">Kampagnen-Pretests (2–3/Jahr)</w:t>
            </w:r>
          </w:p>
        </w:tc>
        <w:tc>
          <w:tcPr/>
          <w:p>
            <w:pPr>
              <w:pStyle w:val="Compact"/>
              <w:jc w:val="left"/>
            </w:pPr>
            <w:r>
              <w:t xml:space="preserve">CHF 180–270k</w:t>
            </w:r>
          </w:p>
        </w:tc>
        <w:tc>
          <w:tcPr/>
          <w:p>
            <w:pPr>
              <w:pStyle w:val="Compact"/>
              <w:jc w:val="left"/>
            </w:pPr>
            <w:r>
              <w:t xml:space="preserve">Simulation on Demand (Stream 2)</w:t>
            </w:r>
          </w:p>
        </w:tc>
        <w:tc>
          <w:tcPr/>
          <w:p>
            <w:pPr>
              <w:pStyle w:val="Compact"/>
              <w:jc w:val="left"/>
            </w:pPr>
            <w:r>
              <w:t xml:space="preserve">Im Retainer</w:t>
            </w:r>
          </w:p>
        </w:tc>
      </w:tr>
      <w:tr>
        <w:tc>
          <w:tcPr/>
          <w:p>
            <w:pPr>
              <w:pStyle w:val="Compact"/>
              <w:jc w:val="left"/>
            </w:pPr>
            <w:r>
              <w:t xml:space="preserve">Journey-/Funnel-Analyse</w:t>
            </w:r>
          </w:p>
        </w:tc>
        <w:tc>
          <w:tcPr/>
          <w:p>
            <w:pPr>
              <w:pStyle w:val="Compact"/>
              <w:jc w:val="left"/>
            </w:pPr>
            <w:r>
              <w:t xml:space="preserve">CHF 90’000</w:t>
            </w:r>
          </w:p>
        </w:tc>
        <w:tc>
          <w:tcPr/>
          <w:p>
            <w:pPr>
              <w:pStyle w:val="Compact"/>
              <w:jc w:val="left"/>
            </w:pPr>
            <w:r>
              <w:t xml:space="preserve">Journey Friction</w:t>
            </w:r>
          </w:p>
        </w:tc>
        <w:tc>
          <w:tcPr/>
          <w:p>
            <w:pPr>
              <w:pStyle w:val="Compact"/>
              <w:jc w:val="left"/>
            </w:pPr>
            <w:r>
              <w:t xml:space="preserve">CHF 40–50k</w:t>
            </w:r>
          </w:p>
        </w:tc>
      </w:tr>
    </w:tbl>
    <w:p>
      <w:pPr>
        <w:pStyle w:val="BodyText"/>
      </w:pPr>
      <w:r>
        <w:t xml:space="preserve">→</w:t>
      </w:r>
      <w:r>
        <w:t xml:space="preserve"> </w:t>
      </w:r>
      <w:r>
        <w:rPr>
          <w:bCs/>
          <w:b/>
        </w:rPr>
        <w:t xml:space="preserve">4 Themenschwerpunkte + Retainer ersetzen Studien im Wert von CHF 500’000–600’000 — für CHF 260’000–300’000.</w:t>
      </w:r>
    </w:p>
    <w:bookmarkEnd w:id="25"/>
    <w:bookmarkStart w:id="26" w:name="X698e7869bed673b71e4938ab190074172101609"/>
    <w:p>
      <w:pPr>
        <w:pStyle w:val="Heading2"/>
      </w:pPr>
      <w:r>
        <w:t xml:space="preserve">Warum jetzt? Die Value Adds für Aydin Sahin</w:t>
      </w:r>
    </w:p>
    <w:tbl>
      <w:tblPr>
        <w:tblStyle w:val="Table"/>
        <w:tblW w:type="pct" w:w="5000"/>
        <w:tblLook w:firstRow="1" w:lastRow="0" w:firstColumn="0" w:lastColumn="0" w:noHBand="0" w:noVBand="0" w:val="0020"/>
        <w:jc w:val="start"/>
      </w:tblPr>
      <w:tblGrid>
        <w:gridCol w:w="2741"/>
        <w:gridCol w:w="5178"/>
      </w:tblGrid>
      <w:tr>
        <w:trPr>
          <w:tblHeader w:val="true"/>
        </w:trPr>
        <w:tc>
          <w:tcPr/>
          <w:p>
            <w:pPr>
              <w:pStyle w:val="Compact"/>
              <w:jc w:val="left"/>
            </w:pPr>
            <w:r>
              <w:t xml:space="preserve">Vorteil</w:t>
            </w:r>
          </w:p>
        </w:tc>
        <w:tc>
          <w:tcPr/>
          <w:p>
            <w:pPr>
              <w:pStyle w:val="Compact"/>
              <w:jc w:val="left"/>
            </w:pPr>
            <w:r>
              <w:t xml:space="preserve">Was das bedeutet</w:t>
            </w:r>
          </w:p>
        </w:tc>
      </w:tr>
      <w:tr>
        <w:tc>
          <w:tcPr/>
          <w:p>
            <w:pPr>
              <w:pStyle w:val="Compact"/>
              <w:jc w:val="left"/>
            </w:pPr>
            <w:r>
              <w:rPr>
                <w:bCs/>
                <w:b/>
              </w:rPr>
              <w:t xml:space="preserve">Viel schneller</w:t>
            </w:r>
          </w:p>
        </w:tc>
        <w:tc>
          <w:tcPr/>
          <w:p>
            <w:pPr>
              <w:pStyle w:val="Compact"/>
              <w:jc w:val="left"/>
            </w:pPr>
            <w:r>
              <w:t xml:space="preserve">BEATRIX liefert in Tagen, was Marktforschung in Wochen liefert. Kampagnen-Varianten werden simuliert, nicht monatelang getestet.</w:t>
            </w:r>
          </w:p>
        </w:tc>
      </w:tr>
      <w:tr>
        <w:tc>
          <w:tcPr/>
          <w:p>
            <w:pPr>
              <w:pStyle w:val="Compact"/>
              <w:jc w:val="left"/>
            </w:pPr>
            <w:r>
              <w:rPr>
                <w:bCs/>
                <w:b/>
              </w:rPr>
              <w:t xml:space="preserve">Kosteneffizienter</w:t>
            </w:r>
          </w:p>
        </w:tc>
        <w:tc>
          <w:tcPr/>
          <w:p>
            <w:pPr>
              <w:pStyle w:val="Compact"/>
              <w:jc w:val="left"/>
            </w:pPr>
            <w:r>
              <w:t xml:space="preserve">Empirie kostet mit BEATRIX-Vorarbeit die Hälfte (CHF 40-50k statt 90-100k). Und vieles, was heute empirisch getestet wird, kann BEATRIX direkt simulieren.</w:t>
            </w:r>
          </w:p>
        </w:tc>
      </w:tr>
      <w:tr>
        <w:tc>
          <w:tcPr/>
          <w:p>
            <w:pPr>
              <w:pStyle w:val="Compact"/>
              <w:jc w:val="left"/>
            </w:pPr>
            <w:r>
              <w:rPr>
                <w:bCs/>
                <w:b/>
              </w:rPr>
              <w:t xml:space="preserve">BEATRIX + Empirie zusammen</w:t>
            </w:r>
          </w:p>
        </w:tc>
        <w:tc>
          <w:tcPr/>
          <w:p>
            <w:pPr>
              <w:pStyle w:val="Compact"/>
              <w:jc w:val="left"/>
            </w:pPr>
            <w:r>
              <w:t xml:space="preserve">Kein Entweder-Oder. BEATRIX schärft die Hypothesen, Empirie validiert gezielt. Die Kombination ist stärker als jedes Element allein.</w:t>
            </w:r>
          </w:p>
        </w:tc>
      </w:tr>
      <w:tr>
        <w:tc>
          <w:tcPr/>
          <w:p>
            <w:pPr>
              <w:pStyle w:val="Compact"/>
              <w:jc w:val="left"/>
            </w:pPr>
            <w:r>
              <w:rPr>
                <w:bCs/>
                <w:b/>
              </w:rPr>
              <w:t xml:space="preserve">Wissen baut sich auf</w:t>
            </w:r>
          </w:p>
        </w:tc>
        <w:tc>
          <w:tcPr/>
          <w:p>
            <w:pPr>
              <w:pStyle w:val="Compact"/>
              <w:jc w:val="left"/>
            </w:pPr>
            <w:r>
              <w:t xml:space="preserve">Jedes Projekt eicht BEATRIX weiter auf UBS. Nach 12 Monaten kennt das Modell UBS-Kund:innen besser als jede einmalige Studie.</w:t>
            </w:r>
          </w:p>
        </w:tc>
      </w:tr>
      <w:tr>
        <w:tc>
          <w:tcPr/>
          <w:p>
            <w:pPr>
              <w:pStyle w:val="Compact"/>
              <w:jc w:val="left"/>
            </w:pPr>
            <w:r>
              <w:rPr>
                <w:bCs/>
                <w:b/>
              </w:rPr>
              <w:t xml:space="preserve">Marketing wird zum Vorreiter</w:t>
            </w:r>
          </w:p>
        </w:tc>
        <w:tc>
          <w:tcPr/>
          <w:p>
            <w:pPr>
              <w:pStyle w:val="Compact"/>
              <w:jc w:val="left"/>
            </w:pPr>
            <w:r>
              <w:t xml:space="preserve">Marketing ist das erste UBS-Department mit einem behavioral-kalibrierten Simulationsmodell — ein interner Proof of Concept für die ganze Bank.</w:t>
            </w:r>
          </w:p>
        </w:tc>
      </w:tr>
    </w:tbl>
    <w:p>
      <w:r>
        <w:pict>
          <v:rect style="width:0;height:1.5pt" o:hralign="center" o:hrstd="t" o:hr="t"/>
        </w:pict>
      </w:r>
    </w:p>
    <w:bookmarkEnd w:id="26"/>
    <w:bookmarkStart w:id="27" w:name="nächster-schritt"/>
    <w:p>
      <w:pPr>
        <w:pStyle w:val="Heading2"/>
      </w:pPr>
      <w:r>
        <w:t xml:space="preserve">Nächster Schritt</w:t>
      </w:r>
    </w:p>
    <w:p>
      <w:pPr>
        <w:pStyle w:val="SourceCode"/>
      </w:pPr>
      <w:r>
        <w:rPr>
          <w:rStyle w:val="VerbatimChar"/>
        </w:rPr>
        <w:t xml:space="preserve">┌──────────────────────────────────────────────────────────────────────┐</w:t>
      </w:r>
      <w:r>
        <w:br/>
      </w:r>
      <w:r>
        <w:rPr>
          <w:rStyle w:val="VerbatimChar"/>
        </w:rPr>
        <w:t xml:space="preserve">│                                                                      │</w:t>
      </w:r>
      <w:r>
        <w:br/>
      </w:r>
      <w:r>
        <w:rPr>
          <w:rStyle w:val="VerbatimChar"/>
        </w:rPr>
        <w:t xml:space="preserve">│  OPTION A: «Wir starten die Partnerschaft»                          │</w:t>
      </w:r>
      <w:r>
        <w:br/>
      </w:r>
      <w:r>
        <w:rPr>
          <w:rStyle w:val="VerbatimChar"/>
        </w:rPr>
        <w:t xml:space="preserve">│  Stream 1 + Stream 2 ab sofort.                                      │</w:t>
      </w:r>
      <w:r>
        <w:br/>
      </w:r>
      <w:r>
        <w:rPr>
          <w:rStyle w:val="VerbatimChar"/>
        </w:rPr>
        <w:t xml:space="preserve">│  Erster Themenschwerpunkt wird gemeinsam definiert.                   │</w:t>
      </w:r>
      <w:r>
        <w:br/>
      </w:r>
      <w:r>
        <w:rPr>
          <w:rStyle w:val="VerbatimChar"/>
        </w:rPr>
        <w:t xml:space="preserve">│                                                                      │</w:t>
      </w:r>
      <w:r>
        <w:br/>
      </w:r>
      <w:r>
        <w:rPr>
          <w:rStyle w:val="VerbatimChar"/>
        </w:rPr>
        <w:t xml:space="preserve">│  OPTION B: «Zeigt uns erst einen Beweis»                             │</w:t>
      </w:r>
      <w:r>
        <w:br/>
      </w:r>
      <w:r>
        <w:rPr>
          <w:rStyle w:val="VerbatimChar"/>
        </w:rPr>
        <w:t xml:space="preserve">│  1 Silicon Sample kostenlos: UBS gibt 1 aktive Kampagne,             │</w:t>
      </w:r>
      <w:r>
        <w:br/>
      </w:r>
      <w:r>
        <w:rPr>
          <w:rStyle w:val="VerbatimChar"/>
        </w:rPr>
        <w:t xml:space="preserve">│  FehrAdvice liefert in 1 Woche 3 simulierte Framing-Varianten.      │</w:t>
      </w:r>
      <w:r>
        <w:br/>
      </w:r>
      <w:r>
        <w:rPr>
          <w:rStyle w:val="VerbatimChar"/>
        </w:rPr>
        <w:t xml:space="preserve">│  Danach: Gespräch über Option A.                                     │</w:t>
      </w:r>
      <w:r>
        <w:br/>
      </w:r>
      <w:r>
        <w:rPr>
          <w:rStyle w:val="VerbatimChar"/>
        </w:rPr>
        <w:t xml:space="preserve">│                                                                      │</w:t>
      </w:r>
      <w:r>
        <w:br/>
      </w:r>
      <w:r>
        <w:rPr>
          <w:rStyle w:val="VerbatimChar"/>
        </w:rPr>
        <w:t xml:space="preserve">└──────────────────────────────────────────────────────────────────────┘</w:t>
      </w:r>
    </w:p>
    <w:p>
      <w:r>
        <w:pict>
          <v:rect style="width:0;height:1.5pt" o:hralign="center" o:hrstd="t" o:hr="t"/>
        </w:pict>
      </w:r>
    </w:p>
    <w:p>
      <w:pPr>
        <w:pStyle w:val="FirstParagraph"/>
      </w:pPr>
      <w:r>
        <w:rPr>
          <w:iCs/>
          <w:i/>
        </w:rPr>
        <w:t xml:space="preserve">FehrAdvice &amp; Partners AG | Klausstrasse 20 | 8008 Zürich | www.fehradvice.com</w:t>
      </w:r>
      <w:r>
        <w:t xml:space="preserve"> </w:t>
      </w:r>
      <w:r>
        <w:rPr>
          <w:iCs/>
          <w:i/>
        </w:rPr>
        <w:t xml:space="preserve">Prof. Ernst Fehr | Behavioral Economics | BEATRIX — Innosuisse-gefördert</w:t>
      </w:r>
    </w:p>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Kooperationsangebot: Behavioral Marketing @ UBS Switzerland</dc:title>
  <dc:creator>FehrAdvice &amp; Partners AG</dc:creator>
  <cp:keywords/>
  <dcterms:created xsi:type="dcterms:W3CDTF">2026-02-23T07:45:39Z</dcterms:created>
  <dcterms:modified xsi:type="dcterms:W3CDTF">2026-02-23T07:45:39Z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Februar 2026</vt:lpwstr>
  </property>
</Properties>
</file>