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STRATEGIC BRIEFING</w:t>
      </w:r>
    </w:p>
    <w:p>
      <w:pPr>
        <w:pStyle w:val="Heading1"/>
        <w:jc w:val="center"/>
      </w:pPr>
      <w:r>
        <w:t>UBS Crypto Offering Communication Strategy</w:t>
      </w:r>
    </w:p>
    <w:p>
      <w:pPr>
        <w:jc w:val="center"/>
      </w:pPr>
      <w:r>
        <w:rPr>
          <w:i/>
        </w:rPr>
        <w:t>Advisory Engagement Framework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UBS Switzerland – Marketing Strategy &amp;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Perspective</w:t>
            </w:r>
          </w:p>
        </w:tc>
        <w:tc>
          <w:tcPr>
            <w:tcW w:type="dxa" w:w="4320"/>
          </w:tcPr>
          <w:p>
            <w:r>
              <w:t>Head Marketing Strategy &amp; Intelligence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</w:tbl>
    <w:p>
      <w:pPr>
        <w:pStyle w:val="Heading1"/>
      </w:pPr>
      <w:r>
        <w:t>Executive Summary</w:t>
      </w:r>
    </w:p>
    <w:p>
      <w:r>
        <w:t>UBS plans to introduce a cryptocurrency investment offering, initially limited to two assets: Bitcoin and one additional cryptocurrency. The primary objective is customer retention – enabling existing investment clients to access crypto investments through UBS rather than seeking alternatives with competitors who already offer such products.</w:t>
      </w:r>
    </w:p>
    <w:p>
      <w:r>
        <w:t>The strategic challenge is communication, not innovation: How can UBS communicate the crypto offering in a way that resonates with existing investment clients, aligns with UBS's brand identity (trust, stability, expertise), and addresses the identity drivers of relevant customer segments – without positioning UBS as a disruptive innovator or undermining its core brand values?</w:t>
      </w:r>
    </w:p>
    <w:p>
      <w:r>
        <w:rPr>
          <w:b/>
        </w:rPr>
        <w:t xml:space="preserve">The core challenge: </w:t>
      </w:r>
      <w:r>
        <w:t>UBS must communicate a product category often associated with innovation, disruption, and risk in a manner consistent with its positioning around trust, security, and expertise. The communication must activate relevant segments while explicitly avoiding "innovation" framing that could create cognitive dissonance with UBS's brand identity.</w:t>
      </w:r>
    </w:p>
    <w:p>
      <w:r>
        <w:t>This engagement follows a two-stage approach: First, a comprehensive analysis of UBS's investment client segments and their crypto-related attitudes, followed by the development of macro-level communication strategy and micro-level communication patterns tailored to prioritised segments.</w:t>
      </w:r>
    </w:p>
    <w:p>
      <w:pPr>
        <w:pStyle w:val="Heading1"/>
      </w:pPr>
      <w:r>
        <w:t>Product Context: UBS Crypto Offering</w:t>
      </w:r>
    </w:p>
    <w:p>
      <w:pPr>
        <w:pStyle w:val="Heading2"/>
      </w:pPr>
      <w:r>
        <w:t>Initial Product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Bitcoin + one additional cryptocurrency (TBD)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Existing UBS investment clients (Switzerland)</w:t>
            </w:r>
          </w:p>
        </w:tc>
      </w:tr>
      <w:tr>
        <w:tc>
          <w:tcPr>
            <w:tcW w:type="dxa" w:w="4320"/>
          </w:tcPr>
          <w:p>
            <w:r>
              <w:t>Access Model</w:t>
            </w:r>
          </w:p>
        </w:tc>
        <w:tc>
          <w:tcPr>
            <w:tcW w:type="dxa" w:w="4320"/>
          </w:tcPr>
          <w:p>
            <w:r>
              <w:t>Integrated into existing investment relationship</w:t>
            </w:r>
          </w:p>
        </w:tc>
      </w:tr>
      <w:tr>
        <w:tc>
          <w:tcPr>
            <w:tcW w:type="dxa" w:w="4320"/>
          </w:tcPr>
          <w:p>
            <w:r>
              <w:t>Launch Phase</w:t>
            </w:r>
          </w:p>
        </w:tc>
        <w:tc>
          <w:tcPr>
            <w:tcW w:type="dxa" w:w="4320"/>
          </w:tcPr>
          <w:p>
            <w:r>
              <w:t>Initial rollout to qualified segments</w:t>
            </w:r>
          </w:p>
        </w:tc>
      </w:tr>
    </w:tbl>
    <w:p>
      <w:pPr>
        <w:pStyle w:val="Heading2"/>
      </w:pPr>
      <w:r>
        <w:t>Known Investment Client Segments</w:t>
      </w:r>
    </w:p>
    <w:p>
      <w:r>
        <w:t>UBS distinguishes five behavioural segments among investment clients: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Characteristics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Crypto Relevance</w:t>
            </w:r>
          </w:p>
        </w:tc>
      </w:tr>
      <w:tr>
        <w:tc>
          <w:tcPr>
            <w:tcW w:type="dxa" w:w="2880"/>
          </w:tcPr>
          <w:p>
            <w:r>
              <w:t>Selbstentscheider</w:t>
            </w:r>
          </w:p>
        </w:tc>
        <w:tc>
          <w:tcPr>
            <w:tcW w:type="dxa" w:w="2880"/>
          </w:tcPr>
          <w:p>
            <w:r>
              <w:t>Independent, well-informed, decisive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Beziehungssuchende</w:t>
            </w:r>
          </w:p>
        </w:tc>
        <w:tc>
          <w:tcPr>
            <w:tcW w:type="dxa" w:w="2880"/>
          </w:tcPr>
          <w:p>
            <w:r>
              <w:t>Values personal advice, trust-oriented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Orientierungssuchende</w:t>
            </w:r>
          </w:p>
        </w:tc>
        <w:tc>
          <w:tcPr>
            <w:tcW w:type="dxa" w:w="2880"/>
          </w:tcPr>
          <w:p>
            <w:r>
              <w:t>Uncertain, seeks structure and guidance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</w:tr>
      <w:tr>
        <w:tc>
          <w:tcPr>
            <w:tcW w:type="dxa" w:w="2880"/>
          </w:tcPr>
          <w:p>
            <w:r>
              <w:t>Schwellenängstliche</w:t>
            </w:r>
          </w:p>
        </w:tc>
        <w:tc>
          <w:tcPr>
            <w:tcW w:type="dxa" w:w="2880"/>
          </w:tcPr>
          <w:p>
            <w:r>
              <w:t>Hesitant, risk-averse, high barriers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Traditionskunden</w:t>
            </w:r>
          </w:p>
        </w:tc>
        <w:tc>
          <w:tcPr>
            <w:tcW w:type="dxa" w:w="2880"/>
          </w:tcPr>
          <w:p>
            <w:r>
              <w:t>Conservative, sceptical of novelty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</w:tr>
    </w:tbl>
    <w:p>
      <w:pPr>
        <w:pStyle w:val="Heading1"/>
      </w:pPr>
      <w:r>
        <w:t>Question 1: Segment Analysis and Crypto Affinity</w:t>
      </w:r>
    </w:p>
    <w:p>
      <w:pPr>
        <w:pStyle w:val="Heading2"/>
      </w:pPr>
      <w:r>
        <w:t>The Strategic Question</w:t>
      </w:r>
    </w:p>
    <w:p>
      <w:r>
        <w:t>How do UBS's investment client segments differ in their characteristics, behavioural profiles, and attitudes toward cryptocurrency – and what are the specific barriers and drivers for crypto adoption within each segment?</w:t>
      </w:r>
    </w:p>
    <w:p>
      <w:pPr>
        <w:pStyle w:val="Heading2"/>
      </w:pPr>
      <w:r>
        <w:t>Part A: Segment Profiling for Investment Behaviour</w:t>
      </w:r>
    </w:p>
    <w:p>
      <w:r>
        <w:t>The consultant must develop comprehensive profiles of all five segments:</w:t>
      </w:r>
    </w:p>
    <w:p>
      <w:pPr>
        <w:pStyle w:val="ListBullet"/>
      </w:pPr>
      <w:r>
        <w:t>Behavioural Characteristics – decision-making patterns, information search, advisor role</w:t>
      </w:r>
    </w:p>
    <w:p>
      <w:pPr>
        <w:pStyle w:val="ListBullet"/>
      </w:pPr>
      <w:r>
        <w:t>Sociodemographic Analysis – age, income, wealth, education, regional distribution</w:t>
      </w:r>
    </w:p>
    <w:p>
      <w:pPr>
        <w:pStyle w:val="ListBullet"/>
      </w:pPr>
      <w:r>
        <w:t>Identity and Values – self-image, investment motivations, "jobs to be done"</w:t>
      </w:r>
    </w:p>
    <w:p>
      <w:pPr>
        <w:pStyle w:val="Heading2"/>
      </w:pPr>
      <w:r>
        <w:t>Part B: Crypto-Specific Attitudes and Behaviours</w:t>
      </w:r>
    </w:p>
    <w:p>
      <w:r>
        <w:t>For each segment, analyse crypto-specific factors:</w:t>
      </w:r>
    </w:p>
    <w:p>
      <w:pPr>
        <w:pStyle w:val="ListBullet"/>
      </w:pPr>
      <w:r>
        <w:t>Current Crypto Behaviour – existing exposure, knowledge, information sources</w:t>
      </w:r>
    </w:p>
    <w:p>
      <w:pPr>
        <w:pStyle w:val="ListBullet"/>
      </w:pPr>
      <w:r>
        <w:t>Crypto Attitudes and Perceptions – asset class perception, emotional associations</w:t>
      </w:r>
    </w:p>
    <w:p>
      <w:pPr>
        <w:pStyle w:val="ListBullet"/>
      </w:pPr>
      <w:r>
        <w:t>Barriers and Drivers – cognitive vs. emotional barriers, activation motivators</w:t>
      </w:r>
    </w:p>
    <w:p>
      <w:pPr>
        <w:pStyle w:val="Heading2"/>
      </w:pPr>
      <w:r>
        <w:t>Part C: Identity-Crypto Alignment Analysis</w:t>
      </w:r>
    </w:p>
    <w:p>
      <w:pPr>
        <w:pStyle w:val="ListBullet"/>
      </w:pPr>
      <w:r>
        <w:t>Identity Consistency – where crypto fits or conflicts with investor identity</w:t>
      </w:r>
    </w:p>
    <w:p>
      <w:pPr>
        <w:pStyle w:val="ListBullet"/>
      </w:pPr>
      <w:r>
        <w:t>Social Dimensions – peer influences, signalling value</w:t>
      </w:r>
    </w:p>
    <w:p>
      <w:pPr>
        <w:pStyle w:val="Heading2"/>
      </w:pPr>
      <w:r>
        <w:t>Deliverable Requirements</w:t>
      </w:r>
    </w:p>
    <w:p>
      <w:pPr>
        <w:pStyle w:val="ListBullet"/>
      </w:pPr>
      <w:r>
        <w:t>1. Comprehensive segment profiles covering demographics, behaviours, and investment patterns</w:t>
      </w:r>
    </w:p>
    <w:p>
      <w:pPr>
        <w:pStyle w:val="ListBullet"/>
      </w:pPr>
      <w:r>
        <w:t>2. Crypto attitude mapping for each segment (knowledge, interest, barriers, drivers)</w:t>
      </w:r>
    </w:p>
    <w:p>
      <w:pPr>
        <w:pStyle w:val="ListBullet"/>
      </w:pPr>
      <w:r>
        <w:t>3. Identity-crypto alignment analysis identifying consistency and conflict points</w:t>
      </w:r>
    </w:p>
    <w:p>
      <w:pPr>
        <w:pStyle w:val="ListBullet"/>
      </w:pPr>
      <w:r>
        <w:t>4. Barrier taxonomy distinguishing cognitive, emotional, and social barriers</w:t>
      </w:r>
    </w:p>
    <w:p>
      <w:pPr>
        <w:pStyle w:val="ListBullet"/>
      </w:pPr>
      <w:r>
        <w:t>5. Current crypto behaviour assessment (existing exposure, experiences)</w:t>
      </w:r>
    </w:p>
    <w:p>
      <w:pPr>
        <w:pStyle w:val="ListBullet"/>
      </w:pPr>
      <w:r>
        <w:t>6. Segment-specific opportunity sizing (addressable market by segment)</w:t>
      </w:r>
    </w:p>
    <w:p>
      <w:pPr>
        <w:pStyle w:val="Heading1"/>
      </w:pPr>
      <w:r>
        <w:t>Question 2: Segment Prioritisation for UBS</w:t>
      </w:r>
    </w:p>
    <w:p>
      <w:pPr>
        <w:pStyle w:val="Heading2"/>
      </w:pPr>
      <w:r>
        <w:t>The Strategic Question</w:t>
      </w:r>
    </w:p>
    <w:p>
      <w:r>
        <w:t>Which segments should UBS prioritise for crypto communication, which segments should be approached later, and which segments should explicitly not be targeted?</w:t>
      </w:r>
    </w:p>
    <w:p>
      <w:pPr>
        <w:pStyle w:val="Heading2"/>
      </w:pPr>
      <w:r>
        <w:t>Part A: Prioritisation Framework Development</w:t>
      </w:r>
    </w:p>
    <w:p>
      <w:pPr>
        <w:pStyle w:val="ListBullet"/>
      </w:pPr>
      <w:r>
        <w:t>Retention Risk Assessment – defection likelihood, revenue at risk, time sensitivity</w:t>
      </w:r>
    </w:p>
    <w:p>
      <w:pPr>
        <w:pStyle w:val="ListBullet"/>
      </w:pPr>
      <w:r>
        <w:t>Activation Potential Assessment – conversion potential, effort required, ROI</w:t>
      </w:r>
    </w:p>
    <w:p>
      <w:pPr>
        <w:pStyle w:val="ListBullet"/>
      </w:pPr>
      <w:r>
        <w:t>Strategic Fit Assessment – brand alignment, market perception impact</w:t>
      </w:r>
    </w:p>
    <w:p>
      <w:pPr>
        <w:pStyle w:val="Heading2"/>
      </w:pPr>
      <w:r>
        <w:t>Part B: Segment Ranking and Rationale</w:t>
      </w:r>
    </w:p>
    <w:p>
      <w:pPr>
        <w:pStyle w:val="ListBullet"/>
      </w:pPr>
      <w:r>
        <w:t>Priority Segments – which 1-2 segments should receive primary focus</w:t>
      </w:r>
    </w:p>
    <w:p>
      <w:pPr>
        <w:pStyle w:val="ListBullet"/>
      </w:pPr>
      <w:r>
        <w:t>Secondary Segments – which segments in second phase, trigger conditions</w:t>
      </w:r>
    </w:p>
    <w:p>
      <w:pPr>
        <w:pStyle w:val="ListBullet"/>
      </w:pPr>
      <w:r>
        <w:t>Anti-Personas – which segments should NOT be targeted</w:t>
      </w:r>
    </w:p>
    <w:p>
      <w:pPr>
        <w:pStyle w:val="Heading2"/>
      </w:pPr>
      <w:r>
        <w:t>Deliverable Requirements</w:t>
      </w:r>
    </w:p>
    <w:p>
      <w:pPr>
        <w:pStyle w:val="ListBullet"/>
      </w:pPr>
      <w:r>
        <w:t>7. Multi-criteria prioritisation framework with weighted scoring</w:t>
      </w:r>
    </w:p>
    <w:p>
      <w:pPr>
        <w:pStyle w:val="ListBullet"/>
      </w:pPr>
      <w:r>
        <w:t>8. Segment ranking with detailed rationale</w:t>
      </w:r>
    </w:p>
    <w:p>
      <w:pPr>
        <w:pStyle w:val="ListBullet"/>
      </w:pPr>
      <w:r>
        <w:t>9. Anti-persona profiles specifying which segments to avoid</w:t>
      </w:r>
    </w:p>
    <w:p>
      <w:pPr>
        <w:pStyle w:val="ListBullet"/>
      </w:pPr>
      <w:r>
        <w:t>10. Competitive analysis mapping competitor positioning</w:t>
      </w:r>
    </w:p>
    <w:p>
      <w:pPr>
        <w:pStyle w:val="ListBullet"/>
      </w:pPr>
      <w:r>
        <w:t>11. Timing recommendations including sequencing</w:t>
      </w:r>
    </w:p>
    <w:p>
      <w:pPr>
        <w:pStyle w:val="ListBullet"/>
      </w:pPr>
      <w:r>
        <w:t>12. Risk assessment for prioritisation decisions</w:t>
      </w:r>
    </w:p>
    <w:p>
      <w:pPr>
        <w:pStyle w:val="Heading1"/>
      </w:pPr>
      <w:r>
        <w:t>Question 3: Communication Strategy (Macro Level)</w:t>
      </w:r>
    </w:p>
    <w:p>
      <w:pPr>
        <w:pStyle w:val="Heading2"/>
      </w:pPr>
      <w:r>
        <w:t>The Strategic Question</w:t>
      </w:r>
    </w:p>
    <w:p>
      <w:r>
        <w:t>What overarching communication strategy will enable UBS to position its crypto offering in a way that is consistent with UBS brand values, resonates with target segments, and effectively transfers UBS's trust equity?</w:t>
      </w:r>
    </w:p>
    <w:p>
      <w:pPr>
        <w:pStyle w:val="Heading2"/>
      </w:pPr>
      <w:r>
        <w:t>Part A: Positioning Framework</w:t>
      </w:r>
    </w:p>
    <w:p>
      <w:r>
        <w:t>Positioning options to evaluate: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Positioning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Brand Fit</w:t>
            </w:r>
          </w:p>
        </w:tc>
      </w:tr>
      <w:tr>
        <w:tc>
          <w:tcPr>
            <w:tcW w:type="dxa" w:w="2880"/>
          </w:tcPr>
          <w:p>
            <w:r>
              <w:t>Access Provider</w:t>
            </w:r>
          </w:p>
        </w:tc>
        <w:tc>
          <w:tcPr>
            <w:tcW w:type="dxa" w:w="2880"/>
          </w:tcPr>
          <w:p>
            <w:r>
              <w:t>"UBS gives you access to crypto"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Security Wrapper</w:t>
            </w:r>
          </w:p>
        </w:tc>
        <w:tc>
          <w:tcPr>
            <w:tcW w:type="dxa" w:w="2880"/>
          </w:tcPr>
          <w:p>
            <w:r>
              <w:t>"Crypto, made secure"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Expertise Guide</w:t>
            </w:r>
          </w:p>
        </w:tc>
        <w:tc>
          <w:tcPr>
            <w:tcW w:type="dxa" w:w="2880"/>
          </w:tcPr>
          <w:p>
            <w:r>
              <w:t>"Navigate crypto with UBS expertise"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Modernisation</w:t>
            </w:r>
          </w:p>
        </w:tc>
        <w:tc>
          <w:tcPr>
            <w:tcW w:type="dxa" w:w="2880"/>
          </w:tcPr>
          <w:p>
            <w:r>
              <w:t>"UBS evolves with the market"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Innovation Leader</w:t>
            </w:r>
          </w:p>
        </w:tc>
        <w:tc>
          <w:tcPr>
            <w:tcW w:type="dxa" w:w="2880"/>
          </w:tcPr>
          <w:p>
            <w:r>
              <w:t>"UBS leads in digital assets"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Part B: Brand Fit and Trust Transfer</w:t>
      </w:r>
    </w:p>
    <w:p>
      <w:pPr>
        <w:pStyle w:val="ListBullet"/>
      </w:pPr>
      <w:r>
        <w:t>Brand Consistency Analysis – supporting vs. tensioning brand elements</w:t>
      </w:r>
    </w:p>
    <w:p>
      <w:pPr>
        <w:pStyle w:val="ListBullet"/>
      </w:pPr>
      <w:r>
        <w:t>Trust Transfer Mechanisms – proof points, reassurance elements</w:t>
      </w:r>
    </w:p>
    <w:p>
      <w:pPr>
        <w:pStyle w:val="ListBullet"/>
      </w:pPr>
      <w:r>
        <w:t>Brand Protection Guidelines – what to avoid</w:t>
      </w:r>
    </w:p>
    <w:p>
      <w:pPr>
        <w:pStyle w:val="Heading2"/>
      </w:pPr>
      <w:r>
        <w:t>Part C: Messaging Architecture</w:t>
      </w:r>
    </w:p>
    <w:p>
      <w:pPr>
        <w:pStyle w:val="ListBullet"/>
      </w:pPr>
      <w:r>
        <w:t>Core Message – single compelling value proposition statement</w:t>
      </w:r>
    </w:p>
    <w:p>
      <w:pPr>
        <w:pStyle w:val="ListBullet"/>
      </w:pPr>
      <w:r>
        <w:t>Supporting Messages – segment-specific, proof points</w:t>
      </w:r>
    </w:p>
    <w:p>
      <w:pPr>
        <w:pStyle w:val="ListBullet"/>
      </w:pPr>
      <w:r>
        <w:t>Risk Communication – UBS-appropriate risk framing</w:t>
      </w:r>
    </w:p>
    <w:p>
      <w:pPr>
        <w:pStyle w:val="ListBullet"/>
      </w:pPr>
      <w:r>
        <w:t>Tonality Guidelines – language choices, tone of voice</w:t>
      </w:r>
    </w:p>
    <w:p>
      <w:pPr>
        <w:pStyle w:val="Heading2"/>
      </w:pPr>
      <w:r>
        <w:t>Deliverable Requirements</w:t>
      </w:r>
    </w:p>
    <w:p>
      <w:pPr>
        <w:pStyle w:val="ListBullet"/>
      </w:pPr>
      <w:r>
        <w:t>13. Positioning framework with recommended approach</w:t>
      </w:r>
    </w:p>
    <w:p>
      <w:pPr>
        <w:pStyle w:val="ListBullet"/>
      </w:pPr>
      <w:r>
        <w:t>14. Brand fit analysis mapping UBS brand to crypto communication</w:t>
      </w:r>
    </w:p>
    <w:p>
      <w:pPr>
        <w:pStyle w:val="ListBullet"/>
      </w:pPr>
      <w:r>
        <w:t>15. Trust transfer mechanism design with proof points</w:t>
      </w:r>
    </w:p>
    <w:p>
      <w:pPr>
        <w:pStyle w:val="ListBullet"/>
      </w:pPr>
      <w:r>
        <w:t>16. Messaging architecture (core, supporting, proof points)</w:t>
      </w:r>
    </w:p>
    <w:p>
      <w:pPr>
        <w:pStyle w:val="ListBullet"/>
      </w:pPr>
      <w:r>
        <w:t>17. Risk communication guidelines</w:t>
      </w:r>
    </w:p>
    <w:p>
      <w:pPr>
        <w:pStyle w:val="ListBullet"/>
      </w:pPr>
      <w:r>
        <w:t>18. Tonality and language guidelines</w:t>
      </w:r>
    </w:p>
    <w:p>
      <w:pPr>
        <w:pStyle w:val="Heading1"/>
      </w:pPr>
      <w:r>
        <w:t>Question 4: Communication Patterns (Micro Level)</w:t>
      </w:r>
    </w:p>
    <w:p>
      <w:pPr>
        <w:pStyle w:val="Heading2"/>
      </w:pPr>
      <w:r>
        <w:t>The Strategic Question</w:t>
      </w:r>
    </w:p>
    <w:p>
      <w:r>
        <w:t>What specific communication patterns, tactics, and interventions are most effective for activating prioritised segments – including channel strategies, trigger moments, advisor enablement, and objection handling?</w:t>
      </w:r>
    </w:p>
    <w:p>
      <w:pPr>
        <w:pStyle w:val="Heading2"/>
      </w:pPr>
      <w:r>
        <w:t>Part A: Segment-Specific Communication Design</w:t>
      </w:r>
    </w:p>
    <w:p>
      <w:pPr>
        <w:pStyle w:val="ListBullet"/>
      </w:pPr>
      <w:r>
        <w:t>Message Customisation – adapted core message per segment</w:t>
      </w:r>
    </w:p>
    <w:p>
      <w:pPr>
        <w:pStyle w:val="ListBullet"/>
      </w:pPr>
      <w:r>
        <w:t>Framing Strategies – gain vs. loss frames, complexity balance</w:t>
      </w:r>
    </w:p>
    <w:p>
      <w:pPr>
        <w:pStyle w:val="ListBullet"/>
      </w:pPr>
      <w:r>
        <w:t>Visual and Content Guidelines – formats, social proof elements</w:t>
      </w:r>
    </w:p>
    <w:p>
      <w:pPr>
        <w:pStyle w:val="Heading2"/>
      </w:pPr>
      <w:r>
        <w:t>Part B: Channel and Touchpoint Strategy</w:t>
      </w:r>
    </w:p>
    <w:p>
      <w:pPr>
        <w:pStyle w:val="ListBullet"/>
      </w:pPr>
      <w:r>
        <w:t>Channel Selection – advisor, digital, direct mail, branch</w:t>
      </w:r>
    </w:p>
    <w:p>
      <w:pPr>
        <w:pStyle w:val="ListBullet"/>
      </w:pPr>
      <w:r>
        <w:t>Advisor Role and Enablement – equipping advisors for crypto conversations</w:t>
      </w:r>
    </w:p>
    <w:p>
      <w:pPr>
        <w:pStyle w:val="ListBullet"/>
      </w:pPr>
      <w:r>
        <w:t>Digital Channel Strategy – touchpoints, self-service tools</w:t>
      </w:r>
    </w:p>
    <w:p>
      <w:pPr>
        <w:pStyle w:val="Heading2"/>
      </w:pPr>
      <w:r>
        <w:t>Part C: Trigger Moments and Activation</w:t>
      </w:r>
    </w:p>
    <w:p>
      <w:pPr>
        <w:pStyle w:val="ListBullet"/>
      </w:pPr>
      <w:r>
        <w:t>Trigger Identification – events creating openness to crypto</w:t>
      </w:r>
    </w:p>
    <w:p>
      <w:pPr>
        <w:pStyle w:val="ListBullet"/>
      </w:pPr>
      <w:r>
        <w:t>Activation Sequences – optimal communication sequencing</w:t>
      </w:r>
    </w:p>
    <w:p>
      <w:pPr>
        <w:pStyle w:val="ListBullet"/>
      </w:pPr>
      <w:r>
        <w:t>Objection Handling – common objections and responses</w:t>
      </w:r>
    </w:p>
    <w:p>
      <w:pPr>
        <w:pStyle w:val="Heading2"/>
      </w:pPr>
      <w:r>
        <w:t>Deliverable Requirements</w:t>
      </w:r>
    </w:p>
    <w:p>
      <w:pPr>
        <w:pStyle w:val="ListBullet"/>
      </w:pPr>
      <w:r>
        <w:t>19. Segment-specific messaging with customised value propositions</w:t>
      </w:r>
    </w:p>
    <w:p>
      <w:pPr>
        <w:pStyle w:val="ListBullet"/>
      </w:pPr>
      <w:r>
        <w:t>20. Channel strategy with recommended mix by segment</w:t>
      </w:r>
    </w:p>
    <w:p>
      <w:pPr>
        <w:pStyle w:val="ListBullet"/>
      </w:pPr>
      <w:r>
        <w:t>21. Advisor enablement concept including conversation guides</w:t>
      </w:r>
    </w:p>
    <w:p>
      <w:pPr>
        <w:pStyle w:val="ListBullet"/>
      </w:pPr>
      <w:r>
        <w:t>22. Trigger moment catalogue with activation sequences</w:t>
      </w:r>
    </w:p>
    <w:p>
      <w:pPr>
        <w:pStyle w:val="ListBullet"/>
      </w:pPr>
      <w:r>
        <w:t>23. Objection handling guide with segment-specific responses</w:t>
      </w:r>
    </w:p>
    <w:p>
      <w:pPr>
        <w:pStyle w:val="ListBullet"/>
      </w:pPr>
      <w:r>
        <w:t>24. Social proof strategy with credibility-appropriate approaches</w:t>
      </w:r>
    </w:p>
    <w:p>
      <w:pPr>
        <w:pStyle w:val="ListBullet"/>
      </w:pPr>
      <w:r>
        <w:t>25. Do's and Don'ts communication guide</w:t>
      </w:r>
    </w:p>
    <w:p>
      <w:pPr>
        <w:pStyle w:val="Heading1"/>
      </w:pPr>
      <w:r>
        <w:t>Engagement Parameters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Segment analysis, prioritisation, draft strategy</w:t>
            </w:r>
          </w:p>
        </w:tc>
      </w:tr>
      <w:tr>
        <w:tc>
          <w:tcPr>
            <w:tcW w:type="dxa" w:w="2880"/>
          </w:tcPr>
          <w:p>
            <w:r>
              <w:t>Schulterblick</w:t>
            </w:r>
          </w:p>
        </w:tc>
        <w:tc>
          <w:tcPr>
            <w:tcW w:type="dxa" w:w="2880"/>
          </w:tcPr>
          <w:p>
            <w:r>
              <w:t>Joint session</w:t>
            </w:r>
          </w:p>
        </w:tc>
        <w:tc>
          <w:tcPr>
            <w:tcW w:type="dxa" w:w="2880"/>
          </w:tcPr>
          <w:p>
            <w:r>
              <w:t>Feedback and alignment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Refined strategy and communication patterns</w:t>
            </w:r>
          </w:p>
        </w:tc>
      </w:tr>
    </w:tbl>
    <w:p>
      <w:pPr>
        <w:pStyle w:val="Heading2"/>
      </w:pPr>
      <w:r>
        <w:t>Key Stakeholders</w:t>
      </w:r>
    </w:p>
    <w:p>
      <w:pPr>
        <w:pStyle w:val="ListBullet"/>
      </w:pPr>
      <w:r>
        <w:t>Dang Nguyen, Head Marketing Strategy &amp; Intelligence</w:t>
      </w:r>
    </w:p>
    <w:p>
      <w:pPr>
        <w:pStyle w:val="ListBullet"/>
      </w:pPr>
      <w:r>
        <w:t>Marketing Strategy Team</w:t>
      </w:r>
    </w:p>
    <w:p>
      <w:pPr>
        <w:pStyle w:val="ListBullet"/>
      </w:pPr>
      <w:r>
        <w:t>Investment Products representatives</w:t>
      </w:r>
    </w:p>
    <w:p>
      <w:pPr>
        <w:pStyle w:val="ListBullet"/>
      </w:pPr>
      <w:r>
        <w:t>Client Advisory representatives</w:t>
      </w:r>
    </w:p>
    <w:p>
      <w:pPr>
        <w:pStyle w:val="ListBullet"/>
      </w:pPr>
      <w:r>
        <w:t>Brand and Communications representatives</w:t>
      </w:r>
    </w:p>
    <w:p>
      <w:pPr>
        <w:pStyle w:val="Heading2"/>
      </w:pPr>
      <w:r>
        <w:t>Final Report Structure (30-40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Key findings, priorities, recommendations</w:t>
            </w:r>
          </w:p>
        </w:tc>
      </w:tr>
      <w:tr>
        <w:tc>
          <w:tcPr>
            <w:tcW w:type="dxa" w:w="2880"/>
          </w:tcPr>
          <w:p>
            <w:r>
              <w:t>Product and Market Context</w:t>
            </w:r>
          </w:p>
        </w:tc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Crypto offering, competitive landscape</w:t>
            </w:r>
          </w:p>
        </w:tc>
      </w:tr>
      <w:tr>
        <w:tc>
          <w:tcPr>
            <w:tcW w:type="dxa" w:w="2880"/>
          </w:tcPr>
          <w:p>
            <w:r>
              <w:t>Segment Analysis</w:t>
            </w:r>
          </w:p>
        </w:tc>
        <w:tc>
          <w:tcPr>
            <w:tcW w:type="dxa" w:w="2880"/>
          </w:tcPr>
          <w:p>
            <w:r>
              <w:t>8-10</w:t>
            </w:r>
          </w:p>
        </w:tc>
        <w:tc>
          <w:tcPr>
            <w:tcW w:type="dxa" w:w="2880"/>
          </w:tcPr>
          <w:p>
            <w:r>
              <w:t>Five segment profiles with crypto attitudes</w:t>
            </w:r>
          </w:p>
        </w:tc>
      </w:tr>
      <w:tr>
        <w:tc>
          <w:tcPr>
            <w:tcW w:type="dxa" w:w="2880"/>
          </w:tcPr>
          <w:p>
            <w:r>
              <w:t>Segment Prioritisation</w:t>
            </w:r>
          </w:p>
        </w:tc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Framework, ranking, anti-personas</w:t>
            </w:r>
          </w:p>
        </w:tc>
      </w:tr>
      <w:tr>
        <w:tc>
          <w:tcPr>
            <w:tcW w:type="dxa" w:w="2880"/>
          </w:tcPr>
          <w:p>
            <w:r>
              <w:t>Communication Strategy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Positioning, brand fit, messaging</w:t>
            </w:r>
          </w:p>
        </w:tc>
      </w:tr>
      <w:tr>
        <w:tc>
          <w:tcPr>
            <w:tcW w:type="dxa" w:w="2880"/>
          </w:tcPr>
          <w:p>
            <w:r>
              <w:t>Communication Patterns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Tactics, channels, advisor enablement</w:t>
            </w:r>
          </w:p>
        </w:tc>
      </w:tr>
      <w:tr>
        <w:tc>
          <w:tcPr>
            <w:tcW w:type="dxa" w:w="2880"/>
          </w:tcPr>
          <w:p>
            <w:r>
              <w:t>Implementation Roadmap</w:t>
            </w:r>
          </w:p>
        </w:tc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Actions, quick wins, testing</w:t>
            </w:r>
          </w:p>
        </w:tc>
      </w:tr>
      <w:tr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Supporting analysis, references</w:t>
            </w:r>
          </w:p>
        </w:tc>
      </w:tr>
    </w:tbl>
    <w:p>
      <w:pPr>
        <w:pStyle w:val="Heading1"/>
      </w:pPr>
      <w:r>
        <w:t>BEATRIX Integration</w:t>
      </w:r>
    </w:p>
    <w:p>
      <w:r>
        <w:t>This engagement leverages the BEATRIX framework for systematic behavioural analysis:</w:t>
      </w:r>
    </w:p>
    <w:p>
      <w:pPr>
        <w:pStyle w:val="Heading2"/>
      </w:pPr>
      <w:r>
        <w:t>Behavioural Economics Foundations</w:t>
      </w:r>
    </w:p>
    <w:p>
      <w:pPr>
        <w:pStyle w:val="ListBullet"/>
      </w:pPr>
      <w:r>
        <w:t>Identity and Self-Concept – crypto adoption requires identity consistency</w:t>
      </w:r>
    </w:p>
    <w:p>
      <w:pPr>
        <w:pStyle w:val="ListBullet"/>
      </w:pPr>
      <w:r>
        <w:t>Trust and Credibility – trust transfer from UBS brand to crypto offering</w:t>
      </w:r>
    </w:p>
    <w:p>
      <w:pPr>
        <w:pStyle w:val="ListBullet"/>
      </w:pPr>
      <w:r>
        <w:t>Loss Aversion and Risk Perception – framing affects risk perception</w:t>
      </w:r>
    </w:p>
    <w:p>
      <w:pPr>
        <w:pStyle w:val="ListBullet"/>
      </w:pPr>
      <w:r>
        <w:t>Social Proof and Norms – peer behaviour influences adoption</w:t>
      </w:r>
    </w:p>
    <w:p>
      <w:pPr>
        <w:pStyle w:val="Heading2"/>
      </w:pPr>
      <w:r>
        <w:t>Context Analysis (Ψ-Framework)</w:t>
      </w:r>
    </w:p>
    <w:p>
      <w:pPr>
        <w:pStyle w:val="ListBullet"/>
      </w:pPr>
      <w:r>
        <w:t>Ψ_I (Institutional): UBS brand constraints, regulatory environment</w:t>
      </w:r>
    </w:p>
    <w:p>
      <w:pPr>
        <w:pStyle w:val="ListBullet"/>
      </w:pPr>
      <w:r>
        <w:t>Ψ_S (Social): Peer effects, social norms, advisor relationships</w:t>
      </w:r>
    </w:p>
    <w:p>
      <w:pPr>
        <w:pStyle w:val="ListBullet"/>
      </w:pPr>
      <w:r>
        <w:t>Ψ_C (Cognitive): Crypto knowledge, complexity barriers</w:t>
      </w:r>
    </w:p>
    <w:p>
      <w:pPr>
        <w:pStyle w:val="ListBullet"/>
      </w:pPr>
      <w:r>
        <w:t>Ψ_K (Cultural): Swiss values, generational differences</w:t>
      </w:r>
    </w:p>
    <w:p>
      <w:pPr>
        <w:pStyle w:val="ListBullet"/>
      </w:pPr>
      <w:r>
        <w:t>Ψ_E (Economic): Risk budgets, portfolio allocation</w:t>
      </w:r>
    </w:p>
    <w:p>
      <w:pPr>
        <w:pStyle w:val="ListBullet"/>
      </w:pPr>
      <w:r>
        <w:t>Ψ_T (Temporal): Market timing, decision urgency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1. Segment Clarity – clear understanding of crypto attitudes and adoption drivers</w:t>
      </w:r>
    </w:p>
    <w:p>
      <w:pPr>
        <w:pStyle w:val="ListBullet"/>
      </w:pPr>
      <w:r>
        <w:t>2. Strategic Focus – defensible prioritisation balancing retention and brand protection</w:t>
      </w:r>
    </w:p>
    <w:p>
      <w:pPr>
        <w:pStyle w:val="ListBullet"/>
      </w:pPr>
      <w:r>
        <w:t>3. Brand-Consistent Positioning – crypto positioned within UBS brand values</w:t>
      </w:r>
    </w:p>
    <w:p>
      <w:pPr>
        <w:pStyle w:val="ListBullet"/>
      </w:pPr>
      <w:r>
        <w:t>4. Actionable Tactics – implementable communication patterns for priority segments</w:t>
      </w:r>
    </w:p>
    <w:p>
      <w:pPr>
        <w:pStyle w:val="ListBullet"/>
      </w:pPr>
      <w:r>
        <w:t>5. Advisor Readiness – concept for enabling advisor crypto conversations</w:t>
      </w:r>
    </w:p>
    <w:p>
      <w:pPr>
        <w:pStyle w:val="ListBullet"/>
      </w:pPr>
      <w:r>
        <w:t>6. Measurable Framework – clear metrics and testing approach</w:t>
      </w:r>
    </w:p>
    <w:p/>
    <w:p>
      <w:pPr>
        <w:jc w:val="center"/>
      </w:pPr>
      <w:r>
        <w:rPr>
          <w:i/>
        </w:rPr>
        <w:t>— End of Briefing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