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1" w:name="X81c99c1aa79fd13dd4d24e9e60f8f59da9292d4"/>
    <w:p>
      <w:pPr>
        <w:pStyle w:val="Heading1"/>
      </w:pPr>
      <w:r>
        <w:t xml:space="preserve">UBS AI Marketing Strategy: Behavioral Transformation Analysis</w:t>
      </w:r>
    </w:p>
    <w:p>
      <w:pPr>
        <w:pStyle w:val="FirstParagraph"/>
      </w:pPr>
      <w:r>
        <w:rPr>
          <w:bCs/>
          <w:b/>
        </w:rPr>
        <w:t xml:space="preserve">Prepared by:</w:t>
      </w:r>
      <w:r>
        <w:t xml:space="preserve"> </w:t>
      </w:r>
      <w:r>
        <w:t xml:space="preserve">FehrAdvice &amp; Partners AG | Evidence-Based Framework (EBF)</w:t>
      </w:r>
      <w:r>
        <w:t xml:space="preserve"> </w:t>
      </w:r>
      <w:r>
        <w:rPr>
          <w:bCs/>
          <w:b/>
        </w:rPr>
        <w:t xml:space="preserve">Model:</w:t>
      </w:r>
      <w:r>
        <w:t xml:space="preserve"> </w:t>
      </w:r>
      <w:r>
        <w:t xml:space="preserve">MOD-UBS-AIMARK-001 v1.2 (Monte Carlo Validated, Axiomatized)</w:t>
      </w:r>
      <w:r>
        <w:t xml:space="preserve"> </w:t>
      </w:r>
      <w:r>
        <w:rPr>
          <w:bCs/>
          <w:b/>
        </w:rPr>
        <w:t xml:space="preserve">Session:</w:t>
      </w:r>
      <w:r>
        <w:t xml:space="preserve"> </w:t>
      </w:r>
      <w:r>
        <w:t xml:space="preserve">EBF-S-2026-02-12-FIN-001</w:t>
      </w:r>
      <w:r>
        <w:t xml:space="preserve"> </w:t>
      </w:r>
      <w:r>
        <w:rPr>
          <w:bCs/>
          <w:b/>
        </w:rPr>
        <w:t xml:space="preserve">Date:</w:t>
      </w:r>
      <w:r>
        <w:t xml:space="preserve"> </w:t>
      </w:r>
      <w:r>
        <w:t xml:space="preserve">February 2026</w:t>
      </w:r>
      <w:r>
        <w:t xml:space="preserve"> </w:t>
      </w:r>
      <w:r>
        <w:rPr>
          <w:bCs/>
          <w:b/>
        </w:rPr>
        <w:t xml:space="preserve">Classification:</w:t>
      </w:r>
      <w:r>
        <w:t xml:space="preserve"> </w:t>
      </w:r>
      <w:r>
        <w:t xml:space="preserve">Confidential — UBS Internal</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ddee96cbd510bf46f0fecde83d56952c98cf716">
        <w:r>
          <w:rPr>
            <w:rStyle w:val="Hyperlink"/>
          </w:rPr>
          <w:t xml:space="preserve">Methodology: BEATRIX &amp; Evidence-Based Framework</w:t>
        </w:r>
      </w:hyperlink>
    </w:p>
    <w:p>
      <w:pPr>
        <w:numPr>
          <w:ilvl w:val="0"/>
          <w:numId w:val="1001"/>
        </w:numPr>
        <w:pStyle w:val="Compact"/>
      </w:pPr>
      <w:hyperlink w:anchor="Xd6c94b5c63ee45abb4f014a566cecf5453b6283">
        <w:r>
          <w:rPr>
            <w:rStyle w:val="Hyperlink"/>
          </w:rPr>
          <w:t xml:space="preserve">Question 1: AI Impact on Marketing Value Creation</w:t>
        </w:r>
      </w:hyperlink>
    </w:p>
    <w:p>
      <w:pPr>
        <w:numPr>
          <w:ilvl w:val="0"/>
          <w:numId w:val="1001"/>
        </w:numPr>
        <w:pStyle w:val="Compact"/>
      </w:pPr>
      <w:hyperlink w:anchor="Xa9c0bfd55ffe5309a72af557ddad3bd156c2deb">
        <w:r>
          <w:rPr>
            <w:rStyle w:val="Hyperlink"/>
          </w:rPr>
          <w:t xml:space="preserve">Question 2: Customer and Market Behavior Scenarios</w:t>
        </w:r>
      </w:hyperlink>
    </w:p>
    <w:p>
      <w:pPr>
        <w:numPr>
          <w:ilvl w:val="0"/>
          <w:numId w:val="1001"/>
        </w:numPr>
        <w:pStyle w:val="Compact"/>
      </w:pPr>
      <w:hyperlink w:anchor="X80349a3b60ee6486aa7e5d3f3fd2978951bccf6">
        <w:r>
          <w:rPr>
            <w:rStyle w:val="Hyperlink"/>
          </w:rPr>
          <w:t xml:space="preserve">Question 3: Marketing Organization Transformation</w:t>
        </w:r>
      </w:hyperlink>
    </w:p>
    <w:p>
      <w:pPr>
        <w:numPr>
          <w:ilvl w:val="0"/>
          <w:numId w:val="1001"/>
        </w:numPr>
        <w:pStyle w:val="Compact"/>
      </w:pPr>
      <w:hyperlink w:anchor="Xc5a05eced86b586a088717f86c38377212a034a">
        <w:r>
          <w:rPr>
            <w:rStyle w:val="Hyperlink"/>
          </w:rPr>
          <w:t xml:space="preserve">Question 4: Strategic Roadmap and No-Regret Moves</w:t>
        </w:r>
      </w:hyperlink>
    </w:p>
    <w:p>
      <w:pPr>
        <w:numPr>
          <w:ilvl w:val="0"/>
          <w:numId w:val="1001"/>
        </w:numPr>
        <w:pStyle w:val="Compact"/>
      </w:pPr>
      <w:hyperlink w:anchor="X87eeb6b107ca45edf67bca2001faaa559a776d0">
        <w:r>
          <w:rPr>
            <w:rStyle w:val="Hyperlink"/>
          </w:rPr>
          <w:t xml:space="preserve">Cross-Question Integration and Synthesis</w:t>
        </w:r>
      </w:hyperlink>
    </w:p>
    <w:p>
      <w:pPr>
        <w:numPr>
          <w:ilvl w:val="0"/>
          <w:numId w:val="1001"/>
        </w:numPr>
        <w:pStyle w:val="Compact"/>
      </w:pPr>
      <w:hyperlink w:anchor="Xcb00f6d5c16cdb6657f9fb25cfb7e4c6e72e9ae">
        <w:r>
          <w:rPr>
            <w:rStyle w:val="Hyperlink"/>
          </w:rPr>
          <w:t xml:space="preserve">Implementation Roadmap</w:t>
        </w:r>
      </w:hyperlink>
    </w:p>
    <w:p>
      <w:pPr>
        <w:numPr>
          <w:ilvl w:val="0"/>
          <w:numId w:val="1001"/>
        </w:numPr>
        <w:pStyle w:val="Compact"/>
      </w:pPr>
      <w:hyperlink w:anchor="X63e2bdab2afede5f44a916ff9d6b8a19863d338">
        <w:r>
          <w:rPr>
            <w:rStyle w:val="Hyperlink"/>
          </w:rPr>
          <w:t xml:space="preserve">Risk Assessment and Mitigation</w:t>
        </w:r>
      </w:hyperlink>
    </w:p>
    <w:p>
      <w:pPr>
        <w:numPr>
          <w:ilvl w:val="0"/>
          <w:numId w:val="1001"/>
        </w:numPr>
        <w:pStyle w:val="Compact"/>
      </w:pPr>
      <w:hyperlink w:anchor="X78650e0301b88b41d1f9cd39c3bfe4947a94ced">
        <w:r>
          <w:rPr>
            <w:rStyle w:val="Hyperlink"/>
          </w:rPr>
          <w:t xml:space="preserve">Appendices</w:t>
        </w:r>
      </w:hyperlink>
    </w:p>
    <w:p>
      <w:r>
        <w:pict>
          <v:rect style="width:0;height:1.5pt" o:hralign="center" o:hrstd="t" o:hr="t"/>
        </w:pict>
      </w:r>
    </w:p>
    <w:bookmarkEnd w:id="20"/>
    <w:bookmarkEnd w:id="21"/>
    <w:bookmarkStart w:id="31" w:name="executive-summary"/>
    <w:p>
      <w:pPr>
        <w:pStyle w:val="Heading1"/>
      </w:pPr>
      <w:r>
        <w:t xml:space="preserve">1. Executive Summary</w:t>
      </w:r>
    </w:p>
    <w:bookmarkStart w:id="22" w:name="the-strategic-imperative"/>
    <w:p>
      <w:pPr>
        <w:pStyle w:val="Heading2"/>
      </w:pPr>
      <w:r>
        <w:t xml:space="preserve">The Strategic Imperative</w:t>
      </w:r>
    </w:p>
    <w:p>
      <w:pPr>
        <w:pStyle w:val="FirstParagraph"/>
      </w:pPr>
      <w:r>
        <w:t xml:space="preserve">UBS Marketing stands at a defining inflection point. The convergence of generative AI, shifting customer expectations, and post-Credit Suisse integration dynamics creates both an unprecedented opportunity and an existential risk. This report delivers a comprehensive, behaviorally-grounded strategic analysis addressing four interconnected questions about the future of UBS’s marketing organization.</w:t>
      </w:r>
    </w:p>
    <w:bookmarkEnd w:id="22"/>
    <w:bookmarkStart w:id="29" w:name="key-findings"/>
    <w:p>
      <w:pPr>
        <w:pStyle w:val="Heading2"/>
      </w:pPr>
      <w:r>
        <w:t xml:space="preserve">Key Findings</w:t>
      </w:r>
    </w:p>
    <w:bookmarkStart w:id="23" w:name="X71002c8ee7e7e40f4858fb4b1a22c4c271fac41"/>
    <w:p>
      <w:pPr>
        <w:pStyle w:val="Heading3"/>
      </w:pPr>
      <w:r>
        <w:t xml:space="preserve">Finding 1: Two Must-Win AI Capabilities Will Define Success</w:t>
      </w:r>
    </w:p>
    <w:p>
      <w:pPr>
        <w:pStyle w:val="FirstParagraph"/>
      </w:pPr>
      <w:r>
        <w:t xml:space="preserve">Our analysis identifies seven marketing functions transformed by AI. Monte Carlo simulation (10,000 draws, 95% CI) confirms that</w:t>
      </w:r>
      <w:r>
        <w:t xml:space="preserve"> </w:t>
      </w:r>
      <w:r>
        <w:rPr>
          <w:bCs/>
          <w:b/>
        </w:rPr>
        <w:t xml:space="preserve">Customer Intelligence (F3)</w:t>
      </w:r>
      <w:r>
        <w:t xml:space="preserve"> </w:t>
      </w:r>
      <w:r>
        <w:t xml:space="preserve">and</w:t>
      </w:r>
      <w:r>
        <w:t xml:space="preserve"> </w:t>
      </w:r>
      <w:r>
        <w:rPr>
          <w:bCs/>
          <w:b/>
        </w:rPr>
        <w:t xml:space="preserve">AI-Mediated Discovery (F5)</w:t>
      </w:r>
      <w:r>
        <w:t xml:space="preserve"> </w:t>
      </w:r>
      <w:r>
        <w:t xml:space="preserve">are the two decisive capabilities:</w:t>
      </w:r>
    </w:p>
    <w:p>
      <w:pPr>
        <w:numPr>
          <w:ilvl w:val="0"/>
          <w:numId w:val="1002"/>
        </w:numPr>
        <w:pStyle w:val="Compact"/>
      </w:pPr>
      <w:r>
        <w:rPr>
          <w:bCs/>
          <w:b/>
        </w:rPr>
        <w:t xml:space="preserve">F3 Customer Intelligence</w:t>
      </w:r>
      <w:r>
        <w:t xml:space="preserve"> </w:t>
      </w:r>
      <w:r>
        <w:t xml:space="preserve">ranks #1 in 99.8% of all simulations, with value of 0.241 [0.155, 0.326]. UBS’s data advantage — USD 6.1 trillion in assets under management across 3.7 million clients — constitutes the primary AI moat in wealth management.</w:t>
      </w:r>
    </w:p>
    <w:p>
      <w:pPr>
        <w:numPr>
          <w:ilvl w:val="0"/>
          <w:numId w:val="1002"/>
        </w:numPr>
        <w:pStyle w:val="Compact"/>
      </w:pPr>
      <w:r>
        <w:rPr>
          <w:bCs/>
          <w:b/>
        </w:rPr>
        <w:t xml:space="preserve">F5 AI-Mediated Discovery</w:t>
      </w:r>
      <w:r>
        <w:t xml:space="preserve"> </w:t>
      </w:r>
      <w:r>
        <w:t xml:space="preserve">has the highest differentiation potential (0.85) but also the greatest uncertainty [0.072, 0.319], representing the largest upside opportunity.</w:t>
      </w:r>
    </w:p>
    <w:bookmarkEnd w:id="23"/>
    <w:bookmarkStart w:id="24" w:name="X7dccfa0dd37305fef4958054073f158d16f9bb5"/>
    <w:p>
      <w:pPr>
        <w:pStyle w:val="Heading3"/>
      </w:pPr>
      <w:r>
        <w:t xml:space="preserve">Finding 2: Three Scenarios Demand Preparation, One Demands Urgency</w:t>
      </w:r>
    </w:p>
    <w:p>
      <w:pPr>
        <w:pStyle w:val="FirstParagraph"/>
      </w:pPr>
      <w:r>
        <w:t xml:space="preserve">Three distinct scenarios describe the competitive landscape over the next 3–5 years:</w:t>
      </w:r>
    </w:p>
    <w:tbl>
      <w:tblPr>
        <w:tblStyle w:val="Table"/>
        <w:tblW w:type="pct" w:w="5000"/>
        <w:tblLook w:firstRow="1" w:lastRow="0" w:firstColumn="0" w:lastColumn="0" w:noHBand="0" w:noVBand="0" w:val="0020"/>
        <w:jc w:val="start"/>
      </w:tblPr>
      <w:tblGrid>
        <w:gridCol w:w="1466"/>
        <w:gridCol w:w="3226"/>
        <w:gridCol w:w="3226"/>
      </w:tblGrid>
      <w:tr>
        <w:trPr>
          <w:tblHeader w:val="true"/>
        </w:trPr>
        <w:tc>
          <w:tcPr/>
          <w:p>
            <w:pPr>
              <w:pStyle w:val="Compact"/>
              <w:jc w:val="left"/>
            </w:pPr>
            <w:r>
              <w:t xml:space="preserve">Scenario</w:t>
            </w:r>
          </w:p>
        </w:tc>
        <w:tc>
          <w:tcPr/>
          <w:p>
            <w:pPr>
              <w:pStyle w:val="Compact"/>
              <w:jc w:val="left"/>
            </w:pPr>
            <w:r>
              <w:t xml:space="preserve">Probability [95% CI]</w:t>
            </w:r>
          </w:p>
        </w:tc>
        <w:tc>
          <w:tcPr/>
          <w:p>
            <w:pPr>
              <w:pStyle w:val="Compact"/>
              <w:jc w:val="left"/>
            </w:pPr>
            <w:r>
              <w:t xml:space="preserve">Strategic Implication</w:t>
            </w:r>
          </w:p>
        </w:tc>
      </w:tr>
      <w:tr>
        <w:tc>
          <w:tcPr/>
          <w:p>
            <w:pPr>
              <w:pStyle w:val="Compact"/>
              <w:jc w:val="left"/>
            </w:pPr>
            <w:r>
              <w:rPr>
                <w:bCs/>
                <w:b/>
              </w:rPr>
              <w:t xml:space="preserve">S1: BigTech Dominance</w:t>
            </w:r>
          </w:p>
        </w:tc>
        <w:tc>
          <w:tcPr/>
          <w:p>
            <w:pPr>
              <w:pStyle w:val="Compact"/>
              <w:jc w:val="left"/>
            </w:pPr>
            <w:r>
              <w:t xml:space="preserve">20% [6%, 40%]</w:t>
            </w:r>
          </w:p>
        </w:tc>
        <w:tc>
          <w:tcPr/>
          <w:p>
            <w:pPr>
              <w:pStyle w:val="Compact"/>
              <w:jc w:val="left"/>
            </w:pPr>
            <w:r>
              <w:t xml:space="preserve">Existential threat to brand relevance</w:t>
            </w:r>
          </w:p>
        </w:tc>
      </w:tr>
      <w:tr>
        <w:tc>
          <w:tcPr/>
          <w:p>
            <w:pPr>
              <w:pStyle w:val="Compact"/>
              <w:jc w:val="left"/>
            </w:pPr>
            <w:r>
              <w:rPr>
                <w:bCs/>
                <w:b/>
              </w:rPr>
              <w:t xml:space="preserve">S2: Hybrid Evolution</w:t>
            </w:r>
          </w:p>
        </w:tc>
        <w:tc>
          <w:tcPr/>
          <w:p>
            <w:pPr>
              <w:pStyle w:val="Compact"/>
              <w:jc w:val="left"/>
            </w:pPr>
            <w:r>
              <w:t xml:space="preserve">50% [29%, 71%]</w:t>
            </w:r>
          </w:p>
        </w:tc>
        <w:tc>
          <w:tcPr/>
          <w:p>
            <w:pPr>
              <w:pStyle w:val="Compact"/>
              <w:jc w:val="left"/>
            </w:pPr>
            <w:r>
              <w:t xml:space="preserve">Most likely; requires dual-track investment</w:t>
            </w:r>
          </w:p>
        </w:tc>
      </w:tr>
      <w:tr>
        <w:tc>
          <w:tcPr/>
          <w:p>
            <w:pPr>
              <w:pStyle w:val="Compact"/>
              <w:jc w:val="left"/>
            </w:pPr>
            <w:r>
              <w:rPr>
                <w:bCs/>
                <w:b/>
              </w:rPr>
              <w:t xml:space="preserve">S3: Trust-Anchored Banking</w:t>
            </w:r>
          </w:p>
        </w:tc>
        <w:tc>
          <w:tcPr/>
          <w:p>
            <w:pPr>
              <w:pStyle w:val="Compact"/>
              <w:jc w:val="left"/>
            </w:pPr>
            <w:r>
              <w:t xml:space="preserve">30% [12%, 51%]</w:t>
            </w:r>
          </w:p>
        </w:tc>
        <w:tc>
          <w:tcPr/>
          <w:p>
            <w:pPr>
              <w:pStyle w:val="Compact"/>
              <w:jc w:val="left"/>
            </w:pPr>
            <w:r>
              <w:t xml:space="preserve">Favorable; Swiss trust premium amplified</w:t>
            </w:r>
          </w:p>
        </w:tc>
      </w:tr>
    </w:tbl>
    <w:p>
      <w:pPr>
        <w:pStyle w:val="BodyText"/>
      </w:pPr>
      <w:r>
        <w:t xml:space="preserve">The probability of S1 (BigTech Dominance) is the single strongest driver of total portfolio value (r = −0.526). Even at 20% base probability, the tail risk extends to 40% — making proactive preparation non-negotiable.</w:t>
      </w:r>
    </w:p>
    <w:bookmarkEnd w:id="24"/>
    <w:bookmarkStart w:id="25" w:name="Xc1e861f17af47dbed7ed96269072191ef1c62ff"/>
    <w:p>
      <w:pPr>
        <w:pStyle w:val="Heading3"/>
      </w:pPr>
      <w:r>
        <w:t xml:space="preserve">Finding 3: 807,000 Ex-Credit Suisse Clients Are at Acute Risk</w:t>
      </w:r>
    </w:p>
    <w:p>
      <w:pPr>
        <w:pStyle w:val="FirstParagraph"/>
      </w:pPr>
      <w:r>
        <w:t xml:space="preserve">The segment analysis reveals a critical vulnerability:</w:t>
      </w:r>
      <w:r>
        <w:t xml:space="preserve"> </w:t>
      </w:r>
      <w:r>
        <w:rPr>
          <w:bCs/>
          <w:b/>
        </w:rPr>
        <w:t xml:space="preserve">SEG-CS-MIGRATED</w:t>
      </w:r>
      <w:r>
        <w:t xml:space="preserve"> </w:t>
      </w:r>
      <w:r>
        <w:t xml:space="preserve">(ex-Credit Suisse clients) shows a flight risk of 81% [67%, 92%] — the highest of any segment. The behavioral drivers are clear:</w:t>
      </w:r>
    </w:p>
    <w:p>
      <w:pPr>
        <w:numPr>
          <w:ilvl w:val="0"/>
          <w:numId w:val="1003"/>
        </w:numPr>
        <w:pStyle w:val="Compact"/>
      </w:pPr>
      <w:r>
        <w:t xml:space="preserve">Trust (τ) = 0.55 — critically low, reflecting forced migration trauma</w:t>
      </w:r>
    </w:p>
    <w:p>
      <w:pPr>
        <w:numPr>
          <w:ilvl w:val="0"/>
          <w:numId w:val="1003"/>
        </w:numPr>
        <w:pStyle w:val="Compact"/>
      </w:pPr>
      <w:r>
        <w:t xml:space="preserve">Switching cost = 0.35 — dangerously low, no organic lock-in</w:t>
      </w:r>
    </w:p>
    <w:p>
      <w:pPr>
        <w:numPr>
          <w:ilvl w:val="0"/>
          <w:numId w:val="1003"/>
        </w:numPr>
        <w:pStyle w:val="Compact"/>
      </w:pPr>
      <w:r>
        <w:t xml:space="preserve">Loss aversion (λ) = 2.20 — high, meaning losses from switching feel 2.2x worse than equivalent gains</w:t>
      </w:r>
    </w:p>
    <w:p>
      <w:pPr>
        <w:pStyle w:val="FirstParagraph"/>
      </w:pPr>
      <w:r>
        <w:t xml:space="preserve">This combination of low trust and low switching costs creates an urgent retention crisis affecting approximately 807,000 clients.</w:t>
      </w:r>
    </w:p>
    <w:bookmarkEnd w:id="25"/>
    <w:bookmarkStart w:id="26" w:name="Xaaef2d448830bd4c2116091e95fee971410841e"/>
    <w:p>
      <w:pPr>
        <w:pStyle w:val="Heading3"/>
      </w:pPr>
      <w:r>
        <w:t xml:space="preserve">Finding 4: Early Training Investment Yields 45% Higher Returns</w:t>
      </w:r>
    </w:p>
    <w:p>
      <w:pPr>
        <w:pStyle w:val="FirstParagraph"/>
      </w:pPr>
      <w:r>
        <w:t xml:space="preserve">Dynamic Complementarity analysis, grounded in Cunha and Heckman’s (2007) Technology of Skill Formation, demonstrates that every franc invested in AI marketing skills in 2026 yields 45% more return than the same franc invested in 2028. This result holds in 100% of 10,000 Monte Carlo simulations. The critical training window is 2026–2027.</w:t>
      </w:r>
    </w:p>
    <w:bookmarkEnd w:id="26"/>
    <w:bookmarkStart w:id="27" w:name="X128d3b8ab8fa7b49cf2a34ecd61ec7613e283d1"/>
    <w:p>
      <w:pPr>
        <w:pStyle w:val="Heading3"/>
      </w:pPr>
      <w:r>
        <w:t xml:space="preserve">Finding 5: Six No-Regret Moves Are Robust Across All Scenarios</w:t>
      </w:r>
    </w:p>
    <w:p>
      <w:pPr>
        <w:pStyle w:val="FirstParagraph"/>
      </w:pPr>
      <w:r>
        <w:t xml:space="preserve">All six identified no-regret moves exceed the robustness threshold (NR &gt; 0.80) in 100% of simulations: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Priority</w:t>
            </w:r>
          </w:p>
        </w:tc>
        <w:tc>
          <w:tcPr/>
          <w:p>
            <w:pPr>
              <w:pStyle w:val="Compact"/>
              <w:jc w:val="left"/>
            </w:pPr>
            <w:r>
              <w:t xml:space="preserve">Move</w:t>
            </w:r>
          </w:p>
        </w:tc>
        <w:tc>
          <w:tcPr/>
          <w:p>
            <w:pPr>
              <w:pStyle w:val="Compact"/>
              <w:jc w:val="left"/>
            </w:pPr>
            <w:r>
              <w:t xml:space="preserve">NR Score [95% CI]</w:t>
            </w:r>
          </w:p>
        </w:tc>
      </w:tr>
      <w:tr>
        <w:tc>
          <w:tcPr/>
          <w:p>
            <w:pPr>
              <w:pStyle w:val="Compact"/>
              <w:jc w:val="left"/>
            </w:pPr>
            <w:r>
              <w:t xml:space="preserve">1</w:t>
            </w:r>
          </w:p>
        </w:tc>
        <w:tc>
          <w:tcPr/>
          <w:p>
            <w:pPr>
              <w:pStyle w:val="Compact"/>
              <w:jc w:val="left"/>
            </w:pPr>
            <w:r>
              <w:t xml:space="preserve">AI Literacy Program</w:t>
            </w:r>
          </w:p>
        </w:tc>
        <w:tc>
          <w:tcPr/>
          <w:p>
            <w:pPr>
              <w:pStyle w:val="Compact"/>
              <w:jc w:val="left"/>
            </w:pPr>
            <w:r>
              <w:t xml:space="preserve">1.61 [1.45, 1.75]</w:t>
            </w:r>
          </w:p>
        </w:tc>
      </w:tr>
      <w:tr>
        <w:tc>
          <w:tcPr/>
          <w:p>
            <w:pPr>
              <w:pStyle w:val="Compact"/>
              <w:jc w:val="left"/>
            </w:pPr>
            <w:r>
              <w:t xml:space="preserve">2</w:t>
            </w:r>
          </w:p>
        </w:tc>
        <w:tc>
          <w:tcPr/>
          <w:p>
            <w:pPr>
              <w:pStyle w:val="Compact"/>
              <w:jc w:val="left"/>
            </w:pPr>
            <w:r>
              <w:t xml:space="preserve">Customer AI Behavior Monitoring</w:t>
            </w:r>
          </w:p>
        </w:tc>
        <w:tc>
          <w:tcPr/>
          <w:p>
            <w:pPr>
              <w:pStyle w:val="Compact"/>
              <w:jc w:val="left"/>
            </w:pPr>
            <w:r>
              <w:t xml:space="preserve">1.58 [1.39, 1.74]</w:t>
            </w:r>
          </w:p>
        </w:tc>
      </w:tr>
      <w:tr>
        <w:tc>
          <w:tcPr/>
          <w:p>
            <w:pPr>
              <w:pStyle w:val="Compact"/>
              <w:jc w:val="left"/>
            </w:pPr>
            <w:r>
              <w:t xml:space="preserve">3</w:t>
            </w:r>
          </w:p>
        </w:tc>
        <w:tc>
          <w:tcPr/>
          <w:p>
            <w:pPr>
              <w:pStyle w:val="Compact"/>
              <w:jc w:val="left"/>
            </w:pPr>
            <w:r>
              <w:t xml:space="preserve">AI-Mediated Discovery Pilot</w:t>
            </w:r>
          </w:p>
        </w:tc>
        <w:tc>
          <w:tcPr/>
          <w:p>
            <w:pPr>
              <w:pStyle w:val="Compact"/>
              <w:jc w:val="left"/>
            </w:pPr>
            <w:r>
              <w:t xml:space="preserve">1.30 [1.06, 1.52]</w:t>
            </w:r>
          </w:p>
        </w:tc>
      </w:tr>
      <w:tr>
        <w:tc>
          <w:tcPr/>
          <w:p>
            <w:pPr>
              <w:pStyle w:val="Compact"/>
              <w:jc w:val="left"/>
            </w:pPr>
            <w:r>
              <w:t xml:space="preserve">4</w:t>
            </w:r>
          </w:p>
        </w:tc>
        <w:tc>
          <w:tcPr/>
          <w:p>
            <w:pPr>
              <w:pStyle w:val="Compact"/>
              <w:jc w:val="left"/>
            </w:pPr>
            <w:r>
              <w:t xml:space="preserve">AI Ethics &amp; Governance Framework</w:t>
            </w:r>
          </w:p>
        </w:tc>
        <w:tc>
          <w:tcPr/>
          <w:p>
            <w:pPr>
              <w:pStyle w:val="Compact"/>
              <w:jc w:val="left"/>
            </w:pPr>
            <w:r>
              <w:t xml:space="preserve">1.23 [0.99, 1.45]</w:t>
            </w:r>
          </w:p>
        </w:tc>
      </w:tr>
      <w:tr>
        <w:tc>
          <w:tcPr/>
          <w:p>
            <w:pPr>
              <w:pStyle w:val="Compact"/>
              <w:jc w:val="left"/>
            </w:pPr>
            <w:r>
              <w:t xml:space="preserve">5</w:t>
            </w:r>
          </w:p>
        </w:tc>
        <w:tc>
          <w:tcPr/>
          <w:p>
            <w:pPr>
              <w:pStyle w:val="Compact"/>
              <w:jc w:val="left"/>
            </w:pPr>
            <w:r>
              <w:t xml:space="preserve">CS-Migrated Trust Rebuilding</w:t>
            </w:r>
          </w:p>
        </w:tc>
        <w:tc>
          <w:tcPr/>
          <w:p>
            <w:pPr>
              <w:pStyle w:val="Compact"/>
              <w:jc w:val="left"/>
            </w:pPr>
            <w:r>
              <w:t xml:space="preserve">1.20 [0.97, 1.42]</w:t>
            </w:r>
          </w:p>
        </w:tc>
      </w:tr>
      <w:tr>
        <w:tc>
          <w:tcPr/>
          <w:p>
            <w:pPr>
              <w:pStyle w:val="Compact"/>
              <w:jc w:val="left"/>
            </w:pPr>
            <w:r>
              <w:t xml:space="preserve">6</w:t>
            </w:r>
          </w:p>
        </w:tc>
        <w:tc>
          <w:tcPr/>
          <w:p>
            <w:pPr>
              <w:pStyle w:val="Compact"/>
              <w:jc w:val="left"/>
            </w:pPr>
            <w:r>
              <w:t xml:space="preserve">Customer Intelligence Platform</w:t>
            </w:r>
          </w:p>
        </w:tc>
        <w:tc>
          <w:tcPr/>
          <w:p>
            <w:pPr>
              <w:pStyle w:val="Compact"/>
              <w:jc w:val="left"/>
            </w:pPr>
            <w:r>
              <w:t xml:space="preserve">1.19 [0.97, 1.41]</w:t>
            </w:r>
          </w:p>
        </w:tc>
      </w:tr>
    </w:tbl>
    <w:bookmarkEnd w:id="27"/>
    <w:bookmarkStart w:id="28" w:name="X99a58c56a03826cb54961c31b4184e0df2b8a04"/>
    <w:p>
      <w:pPr>
        <w:pStyle w:val="Heading3"/>
      </w:pPr>
      <w:r>
        <w:t xml:space="preserve">Finding 6: Cross-Module Complementarity Adds 28% to Total Value</w:t>
      </w:r>
    </w:p>
    <w:p>
      <w:pPr>
        <w:pStyle w:val="FirstParagraph"/>
      </w:pPr>
      <w:r>
        <w:t xml:space="preserve">The four strategic questions are not independent — they interact. The strongest complementarity exists between AI capability investment (M1) and organizational skill readiness (M3), with γ = 0.45 [0.26, 0.64]. Investing in AI technology without simultaneously transforming the organization wastes resources. The total complementarity premium is approximately 28% of integrated portfolio value.</w:t>
      </w:r>
    </w:p>
    <w:bookmarkEnd w:id="28"/>
    <w:bookmarkEnd w:id="29"/>
    <w:bookmarkStart w:id="30" w:name="recommended-action"/>
    <w:p>
      <w:pPr>
        <w:pStyle w:val="Heading2"/>
      </w:pPr>
      <w:r>
        <w:t xml:space="preserve">Recommended Action</w:t>
      </w:r>
    </w:p>
    <w:p>
      <w:pPr>
        <w:pStyle w:val="FirstParagraph"/>
      </w:pPr>
      <w:r>
        <w:t xml:space="preserve">Begin Phase 1 (NR1 + NR2 + NR5) immediately in Q2 2026. The Dynamic Complementarity premium and the CS-Migrated retention crisis make delay the most expensive strategic choice.</w:t>
      </w:r>
    </w:p>
    <w:p>
      <w:r>
        <w:pict>
          <v:rect style="width:0;height:1.5pt" o:hralign="center" o:hrstd="t" o:hr="t"/>
        </w:pict>
      </w:r>
    </w:p>
    <w:bookmarkEnd w:id="30"/>
    <w:bookmarkEnd w:id="31"/>
    <w:bookmarkStart w:id="37" w:name="X1697c6d2e8ba3950afd1673cabe50049dc9daff"/>
    <w:p>
      <w:pPr>
        <w:pStyle w:val="Heading1"/>
      </w:pPr>
      <w:r>
        <w:t xml:space="preserve">2. Methodology: BEATRIX &amp; Evidence-Based Framework</w:t>
      </w:r>
    </w:p>
    <w:bookmarkStart w:id="32" w:name="the-beatrix-approach"/>
    <w:p>
      <w:pPr>
        <w:pStyle w:val="Heading2"/>
      </w:pPr>
      <w:r>
        <w:t xml:space="preserve">2.1 The BEATRIX Approach</w:t>
      </w:r>
    </w:p>
    <w:p>
      <w:pPr>
        <w:pStyle w:val="FirstParagraph"/>
      </w:pPr>
      <w:r>
        <w:t xml:space="preserve">This analysis applies BEATRIX (Behavioral Economics Analytics and Transformation Intelligence System), FehrAdvice’s proprietary methodology for strategic decision-making under uncertainty. BEATRIX integrates three analytical pillars:</w:t>
      </w:r>
    </w:p>
    <w:p>
      <w:pPr>
        <w:pStyle w:val="BodyText"/>
      </w:pPr>
      <w:r>
        <w:rPr>
          <w:bCs/>
          <w:b/>
        </w:rPr>
        <w:t xml:space="preserve">Pillar 1: Behavioral Economics Foundations</w:t>
      </w:r>
      <w:r>
        <w:t xml:space="preserve"> </w:t>
      </w:r>
      <w:r>
        <w:t xml:space="preserve">Traditional strategy frameworks assume rational actors who optimize utility functions. BEATRIX recognizes that customers, employees, and organizations are subject to systematic behavioral patterns — loss aversion, present bias, status quo bias, identity effects, and social norms. These are not noise in the data; they are the signal.</w:t>
      </w:r>
    </w:p>
    <w:p>
      <w:pPr>
        <w:pStyle w:val="BodyText"/>
      </w:pPr>
      <w:r>
        <w:rPr>
          <w:bCs/>
          <w:b/>
        </w:rPr>
        <w:t xml:space="preserve">Pillar 2: Context Analysis (Ψ-Framework)</w:t>
      </w:r>
      <w:r>
        <w:t xml:space="preserve"> </w:t>
      </w:r>
      <w:r>
        <w:t xml:space="preserve">The same intervention produces different outcomes in different contexts. The Ψ-framework systematically captures eight context dimensions that modulate behavioral parameters:</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Dimension</w:t>
            </w:r>
          </w:p>
        </w:tc>
        <w:tc>
          <w:tcPr/>
          <w:p>
            <w:pPr>
              <w:pStyle w:val="Compact"/>
              <w:jc w:val="left"/>
            </w:pPr>
            <w:r>
              <w:t xml:space="preserve">UBS Marketing Context</w:t>
            </w:r>
          </w:p>
        </w:tc>
      </w:tr>
      <w:tr>
        <w:tc>
          <w:tcPr/>
          <w:p>
            <w:pPr>
              <w:pStyle w:val="Compact"/>
              <w:jc w:val="left"/>
            </w:pPr>
            <w:r>
              <w:rPr>
                <w:bCs/>
                <w:b/>
              </w:rPr>
              <w:t xml:space="preserve">Ψ_I (Institutional)</w:t>
            </w:r>
          </w:p>
        </w:tc>
        <w:tc>
          <w:tcPr/>
          <w:p>
            <w:pPr>
              <w:pStyle w:val="Compact"/>
              <w:jc w:val="left"/>
            </w:pPr>
            <w:r>
              <w:t xml:space="preserve">FINMA regulation, Swiss Federal Act on Data Protection (FADP), EU AI Act extraterritorial effects, financial marketing compliance requirements</w:t>
            </w:r>
          </w:p>
        </w:tc>
      </w:tr>
      <w:tr>
        <w:tc>
          <w:tcPr/>
          <w:p>
            <w:pPr>
              <w:pStyle w:val="Compact"/>
              <w:jc w:val="left"/>
            </w:pPr>
            <w:r>
              <w:rPr>
                <w:bCs/>
                <w:b/>
              </w:rPr>
              <w:t xml:space="preserve">Ψ_S (Social)</w:t>
            </w:r>
          </w:p>
        </w:tc>
        <w:tc>
          <w:tcPr/>
          <w:p>
            <w:pPr>
              <w:pStyle w:val="Compact"/>
              <w:jc w:val="left"/>
            </w:pPr>
            <w:r>
              <w:t xml:space="preserve">Wealth management relationship norms, advisor-client trust expectations, Swiss discretion culture, peer effects in UHNW circles</w:t>
            </w:r>
          </w:p>
        </w:tc>
      </w:tr>
      <w:tr>
        <w:tc>
          <w:tcPr/>
          <w:p>
            <w:pPr>
              <w:pStyle w:val="Compact"/>
              <w:jc w:val="left"/>
            </w:pPr>
            <w:r>
              <w:rPr>
                <w:bCs/>
                <w:b/>
              </w:rPr>
              <w:t xml:space="preserve">Ψ_C (Cognitive)</w:t>
            </w:r>
          </w:p>
        </w:tc>
        <w:tc>
          <w:tcPr/>
          <w:p>
            <w:pPr>
              <w:pStyle w:val="Compact"/>
              <w:jc w:val="left"/>
            </w:pPr>
            <w:r>
              <w:t xml:space="preserve">Digital fatigue among affluent clients, AI anxiety across generations, information overload in financial markets, decision complexity for wealth products</w:t>
            </w:r>
          </w:p>
        </w:tc>
      </w:tr>
      <w:tr>
        <w:tc>
          <w:tcPr/>
          <w:p>
            <w:pPr>
              <w:pStyle w:val="Compact"/>
              <w:jc w:val="left"/>
            </w:pPr>
            <w:r>
              <w:rPr>
                <w:bCs/>
                <w:b/>
              </w:rPr>
              <w:t xml:space="preserve">Ψ_K (Cultural)</w:t>
            </w:r>
          </w:p>
        </w:tc>
        <w:tc>
          <w:tcPr/>
          <w:p>
            <w:pPr>
              <w:pStyle w:val="Compact"/>
              <w:jc w:val="left"/>
            </w:pPr>
            <w:r>
              <w:t xml:space="preserve">Swiss conservatism toward financial innovation, generational digital divide, trust premium in banking, cultural differences across 50+ markets</w:t>
            </w:r>
          </w:p>
        </w:tc>
      </w:tr>
      <w:tr>
        <w:tc>
          <w:tcPr/>
          <w:p>
            <w:pPr>
              <w:pStyle w:val="Compact"/>
              <w:jc w:val="left"/>
            </w:pPr>
            <w:r>
              <w:rPr>
                <w:bCs/>
                <w:b/>
              </w:rPr>
              <w:t xml:space="preserve">Ψ_E (Economic)</w:t>
            </w:r>
          </w:p>
        </w:tc>
        <w:tc>
          <w:tcPr/>
          <w:p>
            <w:pPr>
              <w:pStyle w:val="Compact"/>
              <w:jc w:val="left"/>
            </w:pPr>
            <w:r>
              <w:t xml:space="preserve">USD 6.5 billion IT budget, USD 6.1 trillion AuM, post-CS integration cost savings (USD 9.1B achieved of USD 13B target), marketing budget reallocation pressure</w:t>
            </w:r>
          </w:p>
        </w:tc>
      </w:tr>
      <w:tr>
        <w:tc>
          <w:tcPr/>
          <w:p>
            <w:pPr>
              <w:pStyle w:val="Compact"/>
              <w:jc w:val="left"/>
            </w:pPr>
            <w:r>
              <w:rPr>
                <w:bCs/>
                <w:b/>
              </w:rPr>
              <w:t xml:space="preserve">Ψ_T (Temporal)</w:t>
            </w:r>
          </w:p>
        </w:tc>
        <w:tc>
          <w:tcPr/>
          <w:p>
            <w:pPr>
              <w:pStyle w:val="Compact"/>
              <w:jc w:val="left"/>
            </w:pPr>
            <w:r>
              <w:t xml:space="preserve">3–5 year transformation horizon, CS integration completion target 2026, AI adoption S-curve timing, generational wealth transfer timeline</w:t>
            </w:r>
          </w:p>
        </w:tc>
      </w:tr>
      <w:tr>
        <w:tc>
          <w:tcPr/>
          <w:p>
            <w:pPr>
              <w:pStyle w:val="Compact"/>
              <w:jc w:val="left"/>
            </w:pPr>
            <w:r>
              <w:rPr>
                <w:bCs/>
                <w:b/>
              </w:rPr>
              <w:t xml:space="preserve">Ψ_M (Technological)</w:t>
            </w:r>
          </w:p>
        </w:tc>
        <w:tc>
          <w:tcPr/>
          <w:p>
            <w:pPr>
              <w:pStyle w:val="Compact"/>
              <w:jc w:val="left"/>
            </w:pPr>
            <w:r>
              <w:t xml:space="preserve">Avaloq/Temenos core banking platforms, 55% cloud adoption, AI tooling maturity, data infrastructure readiness</w:t>
            </w:r>
          </w:p>
        </w:tc>
      </w:tr>
      <w:tr>
        <w:tc>
          <w:tcPr/>
          <w:p>
            <w:pPr>
              <w:pStyle w:val="Compact"/>
              <w:jc w:val="left"/>
            </w:pPr>
            <w:r>
              <w:rPr>
                <w:bCs/>
                <w:b/>
              </w:rPr>
              <w:t xml:space="preserve">Ψ_F (Physical)</w:t>
            </w:r>
          </w:p>
        </w:tc>
        <w:tc>
          <w:tcPr/>
          <w:p>
            <w:pPr>
              <w:pStyle w:val="Compact"/>
              <w:jc w:val="left"/>
            </w:pPr>
            <w:r>
              <w:t xml:space="preserve">Global presence (50+ countries), Swiss-centric operations (32% of employees), 200 branches post-consolidation, digital-first trend</w:t>
            </w:r>
          </w:p>
        </w:tc>
      </w:tr>
    </w:tbl>
    <w:p>
      <w:pPr>
        <w:pStyle w:val="BodyText"/>
      </w:pPr>
      <w:r>
        <w:rPr>
          <w:bCs/>
          <w:b/>
        </w:rPr>
        <w:t xml:space="preserve">Pillar 3: Monte Carlo Validation</w:t>
      </w:r>
      <w:r>
        <w:t xml:space="preserve"> </w:t>
      </w:r>
      <w:r>
        <w:t xml:space="preserve">Every parameter estimate carries uncertainty. Rather than presenting single-point predictions, BEATRIX quantifies uncertainty through Monte Carlo simulation (10,000 draws) and reports 95% confidence intervals. This enables decision-makers to understand not just the expected outcome but the full range of possibilities.</w:t>
      </w:r>
    </w:p>
    <w:bookmarkEnd w:id="32"/>
    <w:bookmarkStart w:id="33" w:name="model-architecture-mod-ubs-aimark-001"/>
    <w:p>
      <w:pPr>
        <w:pStyle w:val="Heading2"/>
      </w:pPr>
      <w:r>
        <w:t xml:space="preserve">2.2 Model Architecture: MOD-UBS-AIMARK-001</w:t>
      </w:r>
    </w:p>
    <w:p>
      <w:pPr>
        <w:pStyle w:val="FirstParagraph"/>
      </w:pPr>
      <w:r>
        <w:t xml:space="preserve">The analytical model consists of four interconnected modules, each addressing one strategic question:</w:t>
      </w:r>
    </w:p>
    <w:p>
      <w:pPr>
        <w:pStyle w:val="SourceCode"/>
      </w:pPr>
      <w:r>
        <w:rPr>
          <w:rStyle w:val="VerbatimChar"/>
        </w:rPr>
        <w:t xml:space="preserve">┌─────────────────────────────────────────────────────────────────────┐</w:t>
      </w:r>
      <w:r>
        <w:br/>
      </w:r>
      <w:r>
        <w:rPr>
          <w:rStyle w:val="VerbatimChar"/>
        </w:rPr>
        <w:t xml:space="preserve">│                     MOD-UBS-AIMARK-001 v1.2                         │</w:t>
      </w:r>
      <w:r>
        <w:br/>
      </w:r>
      <w:r>
        <w:rPr>
          <w:rStyle w:val="VerbatimChar"/>
        </w:rPr>
        <w:t xml:space="preserve">│              Integrated Behavioral Transformation Model              │</w:t>
      </w:r>
      <w:r>
        <w:br/>
      </w:r>
      <w:r>
        <w:rPr>
          <w:rStyle w:val="VerbatimChar"/>
        </w:rPr>
        <w:t xml:space="preserve">├─────────────────┬──────────────────┬─────────────────┬──────────────┤</w:t>
      </w:r>
      <w:r>
        <w:br/>
      </w:r>
      <w:r>
        <w:rPr>
          <w:rStyle w:val="VerbatimChar"/>
        </w:rPr>
        <w:t xml:space="preserve">│    MODULE 1     │    MODULE 2      │    MODULE 3     │   MODULE 4   │</w:t>
      </w:r>
      <w:r>
        <w:br/>
      </w:r>
      <w:r>
        <w:rPr>
          <w:rStyle w:val="VerbatimChar"/>
        </w:rPr>
        <w:t xml:space="preserve">│  Value Chain    │   Scenarios      │  Organization   │   Roadmap    │</w:t>
      </w:r>
      <w:r>
        <w:br/>
      </w:r>
      <w:r>
        <w:rPr>
          <w:rStyle w:val="VerbatimChar"/>
        </w:rPr>
        <w:t xml:space="preserve">│                 │                  │                 │              │</w:t>
      </w:r>
      <w:r>
        <w:br/>
      </w:r>
      <w:r>
        <w:rPr>
          <w:rStyle w:val="VerbatimChar"/>
        </w:rPr>
        <w:t xml:space="preserve">│  7 Functions    │  3 Scenarios     │  6 Role Transf. │  6 NR Moves  │</w:t>
      </w:r>
      <w:r>
        <w:br/>
      </w:r>
      <w:r>
        <w:rPr>
          <w:rStyle w:val="VerbatimChar"/>
        </w:rPr>
        <w:t xml:space="preserve">│  F1-F7         │  S1-S3           │  R1-R6          │  NR1-NR6     │</w:t>
      </w:r>
      <w:r>
        <w:br/>
      </w:r>
      <w:r>
        <w:rPr>
          <w:rStyle w:val="VerbatimChar"/>
        </w:rPr>
        <w:t xml:space="preserve">│  Must-Win: F3,F5│  4 Segments      │  3 Emerging     │  4 Phases    │</w:t>
      </w:r>
      <w:r>
        <w:br/>
      </w:r>
      <w:r>
        <w:rPr>
          <w:rStyle w:val="VerbatimChar"/>
        </w:rPr>
        <w:t xml:space="preserve">│                 │  SEG-L/CS/D/U   │  DC Premium     │  EWS: T1-T6  │</w:t>
      </w:r>
      <w:r>
        <w:br/>
      </w:r>
      <w:r>
        <w:rPr>
          <w:rStyle w:val="VerbatimChar"/>
        </w:rPr>
        <w:t xml:space="preserve">├─────────────────┴──────────────────┴─────────────────┴──────────────┤</w:t>
      </w:r>
      <w:r>
        <w:br/>
      </w:r>
      <w:r>
        <w:rPr>
          <w:rStyle w:val="VerbatimChar"/>
        </w:rPr>
        <w:t xml:space="preserve">│              CROSS-MODULE COMPLEMENTARITIES (γ)                      │</w:t>
      </w:r>
      <w:r>
        <w:br/>
      </w:r>
      <w:r>
        <w:rPr>
          <w:rStyle w:val="VerbatimChar"/>
        </w:rPr>
        <w:t xml:space="preserve">│  M1×M3 = 0.45  │  M1×M2 = 0.35  │  M2×M4 = 0.30  │ M3×M4 = 0.25 │</w:t>
      </w:r>
      <w:r>
        <w:br/>
      </w:r>
      <w:r>
        <w:rPr>
          <w:rStyle w:val="VerbatimChar"/>
        </w:rPr>
        <w:t xml:space="preserve">├─────────────────────────────────────────────────────────────────────┤</w:t>
      </w:r>
      <w:r>
        <w:br/>
      </w:r>
      <w:r>
        <w:rPr>
          <w:rStyle w:val="VerbatimChar"/>
        </w:rPr>
        <w:t xml:space="preserve">│  INTEGRATED PORTFOLIO VALUE: U = Σ w_m·V_m + Σ γ_ij·√(V_i·V_j)    │</w:t>
      </w:r>
      <w:r>
        <w:br/>
      </w:r>
      <w:r>
        <w:rPr>
          <w:rStyle w:val="VerbatimChar"/>
        </w:rPr>
        <w:t xml:space="preserve">│  E[U] = 1.28 [1.04, 1.54] (scenario-weighted)                      │</w:t>
      </w:r>
      <w:r>
        <w:br/>
      </w:r>
      <w:r>
        <w:rPr>
          <w:rStyle w:val="VerbatimChar"/>
        </w:rPr>
        <w:t xml:space="preserve">└─────────────────────────────────────────────────────────────────────┘</w:t>
      </w:r>
    </w:p>
    <w:bookmarkEnd w:id="33"/>
    <w:bookmarkStart w:id="34" w:name="theoretical-foundations"/>
    <w:p>
      <w:pPr>
        <w:pStyle w:val="Heading2"/>
      </w:pPr>
      <w:r>
        <w:t xml:space="preserve">2.3 Theoretical Foundations</w:t>
      </w:r>
    </w:p>
    <w:p>
      <w:pPr>
        <w:pStyle w:val="FirstParagraph"/>
      </w:pPr>
      <w:r>
        <w:t xml:space="preserve">The model draws on 40+ behavioral economics theories from 13 categories, anchored in the scientific work of Prof. Ernst Fehr and the broader behavioral economics canon. Key theoretical underpinnings include:</w:t>
      </w:r>
    </w:p>
    <w:tbl>
      <w:tblPr>
        <w:tblStyle w:val="Table"/>
        <w:tblW w:type="pct" w:w="5000"/>
        <w:tblLook w:firstRow="1" w:lastRow="0" w:firstColumn="0" w:lastColumn="0" w:noHBand="0" w:noVBand="0" w:val="0020"/>
        <w:jc w:val="start"/>
      </w:tblPr>
      <w:tblGrid>
        <w:gridCol w:w="1667"/>
        <w:gridCol w:w="1875"/>
        <w:gridCol w:w="4376"/>
      </w:tblGrid>
      <w:tr>
        <w:trPr>
          <w:tblHeader w:val="true"/>
        </w:trPr>
        <w:tc>
          <w:tcPr/>
          <w:p>
            <w:pPr>
              <w:pStyle w:val="Compact"/>
              <w:jc w:val="left"/>
            </w:pPr>
            <w:r>
              <w:t xml:space="preserve">Theory</w:t>
            </w:r>
          </w:p>
        </w:tc>
        <w:tc>
          <w:tcPr/>
          <w:p>
            <w:pPr>
              <w:pStyle w:val="Compact"/>
              <w:jc w:val="left"/>
            </w:pPr>
            <w:r>
              <w:t xml:space="preserve">Authors</w:t>
            </w:r>
          </w:p>
        </w:tc>
        <w:tc>
          <w:tcPr/>
          <w:p>
            <w:pPr>
              <w:pStyle w:val="Compact"/>
              <w:jc w:val="left"/>
            </w:pPr>
            <w:r>
              <w:t xml:space="preserve">Application in Model</w:t>
            </w:r>
          </w:p>
        </w:tc>
      </w:tr>
      <w:tr>
        <w:tc>
          <w:tcPr/>
          <w:p>
            <w:pPr>
              <w:pStyle w:val="Compact"/>
              <w:jc w:val="left"/>
            </w:pPr>
            <w:r>
              <w:t xml:space="preserve">AI Consumer Experience Framework</w:t>
            </w:r>
          </w:p>
        </w:tc>
        <w:tc>
          <w:tcPr/>
          <w:p>
            <w:pPr>
              <w:pStyle w:val="Compact"/>
              <w:jc w:val="left"/>
            </w:pPr>
            <w:r>
              <w:t xml:space="preserve">Puntoni et al. (2021)</w:t>
            </w:r>
          </w:p>
        </w:tc>
        <w:tc>
          <w:tcPr/>
          <w:p>
            <w:pPr>
              <w:pStyle w:val="Compact"/>
              <w:jc w:val="left"/>
            </w:pPr>
            <w:r>
              <w:t xml:space="preserve">Maps 4 AI capabilities to marketing functions</w:t>
            </w:r>
          </w:p>
        </w:tc>
      </w:tr>
      <w:tr>
        <w:tc>
          <w:tcPr/>
          <w:p>
            <w:pPr>
              <w:pStyle w:val="Compact"/>
              <w:jc w:val="left"/>
            </w:pPr>
            <w:r>
              <w:t xml:space="preserve">Productivity Bandwagon Theory</w:t>
            </w:r>
          </w:p>
        </w:tc>
        <w:tc>
          <w:tcPr/>
          <w:p>
            <w:pPr>
              <w:pStyle w:val="Compact"/>
              <w:jc w:val="left"/>
            </w:pPr>
            <w:r>
              <w:t xml:space="preserve">Acemoglu &amp; Johnson (2023)</w:t>
            </w:r>
          </w:p>
        </w:tc>
        <w:tc>
          <w:tcPr/>
          <w:p>
            <w:pPr>
              <w:pStyle w:val="Compact"/>
              <w:jc w:val="left"/>
            </w:pPr>
            <w:r>
              <w:t xml:space="preserve">Distinguishes value-creating AI from so-so automation</w:t>
            </w:r>
          </w:p>
        </w:tc>
      </w:tr>
      <w:tr>
        <w:tc>
          <w:tcPr/>
          <w:p>
            <w:pPr>
              <w:pStyle w:val="Compact"/>
              <w:jc w:val="left"/>
            </w:pPr>
            <w:r>
              <w:t xml:space="preserve">Technology of Skill Formation</w:t>
            </w:r>
          </w:p>
        </w:tc>
        <w:tc>
          <w:tcPr/>
          <w:p>
            <w:pPr>
              <w:pStyle w:val="Compact"/>
              <w:jc w:val="left"/>
            </w:pPr>
            <w:r>
              <w:t xml:space="preserve">Cunha &amp; Heckman (2007)</w:t>
            </w:r>
          </w:p>
        </w:tc>
        <w:tc>
          <w:tcPr/>
          <w:p>
            <w:pPr>
              <w:pStyle w:val="Compact"/>
              <w:jc w:val="left"/>
            </w:pPr>
            <w:r>
              <w:t xml:space="preserve">Skill production function for role transformation</w:t>
            </w:r>
          </w:p>
        </w:tc>
      </w:tr>
      <w:tr>
        <w:tc>
          <w:tcPr/>
          <w:p>
            <w:pPr>
              <w:pStyle w:val="Compact"/>
              <w:jc w:val="left"/>
            </w:pPr>
            <w:r>
              <w:t xml:space="preserve">Dynamic Complementarity</w:t>
            </w:r>
          </w:p>
        </w:tc>
        <w:tc>
          <w:tcPr/>
          <w:p>
            <w:pPr>
              <w:pStyle w:val="Compact"/>
              <w:jc w:val="left"/>
            </w:pPr>
            <w:r>
              <w:t xml:space="preserve">Heckman et al. (2025)</w:t>
            </w:r>
          </w:p>
        </w:tc>
        <w:tc>
          <w:tcPr/>
          <w:p>
            <w:pPr>
              <w:pStyle w:val="Compact"/>
              <w:jc w:val="left"/>
            </w:pPr>
            <w:r>
              <w:t xml:space="preserve">Early training premium (1.45x)</w:t>
            </w:r>
          </w:p>
        </w:tc>
      </w:tr>
      <w:tr>
        <w:tc>
          <w:tcPr/>
          <w:p>
            <w:pPr>
              <w:pStyle w:val="Compact"/>
              <w:jc w:val="left"/>
            </w:pPr>
            <w:r>
              <w:t xml:space="preserve">Customer Journey Theory</w:t>
            </w:r>
          </w:p>
        </w:tc>
        <w:tc>
          <w:tcPr/>
          <w:p>
            <w:pPr>
              <w:pStyle w:val="Compact"/>
              <w:jc w:val="left"/>
            </w:pPr>
            <w:r>
              <w:t xml:space="preserve">Lemon &amp; Verhoef (2016)</w:t>
            </w:r>
          </w:p>
        </w:tc>
        <w:tc>
          <w:tcPr/>
          <w:p>
            <w:pPr>
              <w:pStyle w:val="Compact"/>
              <w:jc w:val="left"/>
            </w:pPr>
            <w:r>
              <w:t xml:space="preserve">Journey phase transformation under AI</w:t>
            </w:r>
          </w:p>
        </w:tc>
      </w:tr>
      <w:tr>
        <w:tc>
          <w:tcPr/>
          <w:p>
            <w:pPr>
              <w:pStyle w:val="Compact"/>
              <w:jc w:val="left"/>
            </w:pPr>
            <w:r>
              <w:t xml:space="preserve">Prospect Theory</w:t>
            </w:r>
          </w:p>
        </w:tc>
        <w:tc>
          <w:tcPr/>
          <w:p>
            <w:pPr>
              <w:pStyle w:val="Compact"/>
              <w:jc w:val="left"/>
            </w:pPr>
            <w:r>
              <w:t xml:space="preserve">Kahneman &amp; Tversky (1979)</w:t>
            </w:r>
          </w:p>
        </w:tc>
        <w:tc>
          <w:tcPr/>
          <w:p>
            <w:pPr>
              <w:pStyle w:val="Compact"/>
              <w:jc w:val="left"/>
            </w:pPr>
            <w:r>
              <w:t xml:space="preserve">Loss aversion in switching decisions</w:t>
            </w:r>
          </w:p>
        </w:tc>
      </w:tr>
      <w:tr>
        <w:tc>
          <w:tcPr/>
          <w:p>
            <w:pPr>
              <w:pStyle w:val="Compact"/>
              <w:jc w:val="left"/>
            </w:pPr>
            <w:r>
              <w:t xml:space="preserve">Identity Economics</w:t>
            </w:r>
          </w:p>
        </w:tc>
        <w:tc>
          <w:tcPr/>
          <w:p>
            <w:pPr>
              <w:pStyle w:val="Compact"/>
              <w:jc w:val="left"/>
            </w:pPr>
            <w:r>
              <w:t xml:space="preserve">Akerlof &amp; Kranton (2000)</w:t>
            </w:r>
          </w:p>
        </w:tc>
        <w:tc>
          <w:tcPr/>
          <w:p>
            <w:pPr>
              <w:pStyle w:val="Compact"/>
              <w:jc w:val="left"/>
            </w:pPr>
            <w:r>
              <w:t xml:space="preserve">Brand-identity alignment in AI world</w:t>
            </w:r>
          </w:p>
        </w:tc>
      </w:tr>
      <w:tr>
        <w:tc>
          <w:tcPr/>
          <w:p>
            <w:pPr>
              <w:pStyle w:val="Compact"/>
              <w:jc w:val="left"/>
            </w:pPr>
            <w:r>
              <w:t xml:space="preserve">Inequity Aversion</w:t>
            </w:r>
          </w:p>
        </w:tc>
        <w:tc>
          <w:tcPr/>
          <w:p>
            <w:pPr>
              <w:pStyle w:val="Compact"/>
              <w:jc w:val="left"/>
            </w:pPr>
            <w:r>
              <w:t xml:space="preserve">Fehr &amp; Schmidt (1999)</w:t>
            </w:r>
          </w:p>
        </w:tc>
        <w:tc>
          <w:tcPr/>
          <w:p>
            <w:pPr>
              <w:pStyle w:val="Compact"/>
              <w:jc w:val="left"/>
            </w:pPr>
            <w:r>
              <w:t xml:space="preserve">Fairness concerns in AI-mediated service</w:t>
            </w:r>
          </w:p>
        </w:tc>
      </w:tr>
      <w:tr>
        <w:tc>
          <w:tcPr/>
          <w:p>
            <w:pPr>
              <w:pStyle w:val="Compact"/>
              <w:jc w:val="left"/>
            </w:pPr>
            <w:r>
              <w:t xml:space="preserve">Pragmatist Entrepreneurship</w:t>
            </w:r>
          </w:p>
        </w:tc>
        <w:tc>
          <w:tcPr/>
          <w:p>
            <w:pPr>
              <w:pStyle w:val="Compact"/>
              <w:jc w:val="left"/>
            </w:pPr>
            <w:r>
              <w:t xml:space="preserve">Gans, Stern &amp; Wu (2019)</w:t>
            </w:r>
          </w:p>
        </w:tc>
        <w:tc>
          <w:tcPr/>
          <w:p>
            <w:pPr>
              <w:pStyle w:val="Compact"/>
              <w:jc w:val="left"/>
            </w:pPr>
            <w:r>
              <w:t xml:space="preserve">Belief-action-response cycle for AI pilots</w:t>
            </w:r>
          </w:p>
        </w:tc>
      </w:tr>
      <w:tr>
        <w:tc>
          <w:tcPr/>
          <w:p>
            <w:pPr>
              <w:pStyle w:val="Compact"/>
              <w:jc w:val="left"/>
            </w:pPr>
            <w:r>
              <w:t xml:space="preserve">Firestorm Detection Model</w:t>
            </w:r>
          </w:p>
        </w:tc>
        <w:tc>
          <w:tcPr/>
          <w:p>
            <w:pPr>
              <w:pStyle w:val="Compact"/>
              <w:jc w:val="left"/>
            </w:pPr>
            <w:r>
              <w:t xml:space="preserve">Herhausen et al. (2019)</w:t>
            </w:r>
          </w:p>
        </w:tc>
        <w:tc>
          <w:tcPr/>
          <w:p>
            <w:pPr>
              <w:pStyle w:val="Compact"/>
              <w:jc w:val="left"/>
            </w:pPr>
            <w:r>
              <w:t xml:space="preserve">AI-powered brand crisis management</w:t>
            </w:r>
          </w:p>
        </w:tc>
      </w:tr>
    </w:tbl>
    <w:bookmarkEnd w:id="34"/>
    <w:bookmarkStart w:id="35" w:name="formal-axiom-system"/>
    <w:p>
      <w:pPr>
        <w:pStyle w:val="Heading2"/>
      </w:pPr>
      <w:r>
        <w:t xml:space="preserve">2.4 Formal Axiom System</w:t>
      </w:r>
    </w:p>
    <w:p>
      <w:pPr>
        <w:pStyle w:val="FirstParagraph"/>
      </w:pPr>
      <w:r>
        <w:t xml:space="preserve">The model is formalized through 20 axioms (AIM-1 through AIM-20), 12 definitions, and 8 propositions — all validated by Monte Carlo simulation. This axiom system ensures internal consistency and falsifiability. Key axioms include:</w:t>
      </w:r>
    </w:p>
    <w:p>
      <w:pPr>
        <w:numPr>
          <w:ilvl w:val="0"/>
          <w:numId w:val="1004"/>
        </w:numPr>
        <w:pStyle w:val="Compact"/>
      </w:pPr>
      <w:r>
        <w:rPr>
          <w:bCs/>
          <w:b/>
        </w:rPr>
        <w:t xml:space="preserve">AIM-1 (Multiplicative Value Decomposition):</w:t>
      </w:r>
      <w:r>
        <w:t xml:space="preserve"> </w:t>
      </w:r>
      <w:r>
        <w:t xml:space="preserve">V_f = w_f × α_f × φ_f × (1 + δ_f), where each marketing function’s value is the product of weight, AI potential, feasibility, and differentiation premium.</w:t>
      </w:r>
    </w:p>
    <w:p>
      <w:pPr>
        <w:numPr>
          <w:ilvl w:val="0"/>
          <w:numId w:val="1004"/>
        </w:numPr>
        <w:pStyle w:val="Compact"/>
      </w:pPr>
      <w:r>
        <w:rPr>
          <w:bCs/>
          <w:b/>
        </w:rPr>
        <w:t xml:space="preserve">AIM-8 (Multiplicative Retention):</w:t>
      </w:r>
      <w:r>
        <w:t xml:space="preserve"> </w:t>
      </w:r>
      <w:r>
        <w:t xml:space="preserve">R_g = τ_g × σ_g, justified by EXC-5 V1 Veto — if trust is zero, retention is zero regardless of switching costs.</w:t>
      </w:r>
    </w:p>
    <w:p>
      <w:pPr>
        <w:numPr>
          <w:ilvl w:val="0"/>
          <w:numId w:val="1004"/>
        </w:numPr>
        <w:pStyle w:val="Compact"/>
      </w:pPr>
      <w:r>
        <w:rPr>
          <w:bCs/>
          <w:b/>
        </w:rPr>
        <w:t xml:space="preserve">AIM-12 (Dynamic Complementarity):</w:t>
      </w:r>
      <w:r>
        <w:t xml:space="preserve"> </w:t>
      </w:r>
      <w:r>
        <w:t xml:space="preserve">∂²K/∂I∂K &gt; 0, establishing that early AI training investment raises the return on later training.</w:t>
      </w:r>
    </w:p>
    <w:p>
      <w:pPr>
        <w:numPr>
          <w:ilvl w:val="0"/>
          <w:numId w:val="1004"/>
        </w:numPr>
        <w:pStyle w:val="Compact"/>
      </w:pPr>
      <w:r>
        <w:rPr>
          <w:bCs/>
          <w:b/>
        </w:rPr>
        <w:t xml:space="preserve">AIM-16 (No-Regret Scoring):</w:t>
      </w:r>
      <w:r>
        <w:t xml:space="preserve"> </w:t>
      </w:r>
      <w:r>
        <w:t xml:space="preserve">NR = ρ·V_min + (1−ρ)·O + r·L, combining scenario robustness, option value, reversibility, and learning value.</w:t>
      </w:r>
    </w:p>
    <w:bookmarkEnd w:id="35"/>
    <w:bookmarkStart w:id="36" w:name="data-sources"/>
    <w:p>
      <w:pPr>
        <w:pStyle w:val="Heading2"/>
      </w:pPr>
      <w:r>
        <w:t xml:space="preserve">2.5 Data Sources</w:t>
      </w:r>
    </w:p>
    <w:tbl>
      <w:tblPr>
        <w:tblStyle w:val="Table"/>
        <w:tblW w:type="pct" w:w="5000"/>
        <w:tblLook w:firstRow="1" w:lastRow="0" w:firstColumn="0" w:lastColumn="0" w:noHBand="0" w:noVBand="0" w:val="0020"/>
        <w:jc w:val="start"/>
      </w:tblPr>
      <w:tblGrid>
        <w:gridCol w:w="1760"/>
        <w:gridCol w:w="2200"/>
        <w:gridCol w:w="3960"/>
      </w:tblGrid>
      <w:tr>
        <w:trPr>
          <w:tblHeader w:val="true"/>
        </w:trPr>
        <w:tc>
          <w:tcPr/>
          <w:p>
            <w:pPr>
              <w:pStyle w:val="Compact"/>
              <w:jc w:val="left"/>
            </w:pPr>
            <w:r>
              <w:t xml:space="preserve">Source</w:t>
            </w:r>
          </w:p>
        </w:tc>
        <w:tc>
          <w:tcPr/>
          <w:p>
            <w:pPr>
              <w:pStyle w:val="Compact"/>
              <w:jc w:val="left"/>
            </w:pPr>
            <w:r>
              <w:t xml:space="preserve">Coverage</w:t>
            </w:r>
          </w:p>
        </w:tc>
        <w:tc>
          <w:tcPr/>
          <w:p>
            <w:pPr>
              <w:pStyle w:val="Compact"/>
              <w:jc w:val="left"/>
            </w:pPr>
            <w:r>
              <w:t xml:space="preserve">Role in Analysis</w:t>
            </w:r>
          </w:p>
        </w:tc>
      </w:tr>
      <w:tr>
        <w:tc>
          <w:tcPr/>
          <w:p>
            <w:pPr>
              <w:pStyle w:val="Compact"/>
              <w:jc w:val="left"/>
            </w:pPr>
            <w:r>
              <w:t xml:space="preserve">UBS Customer Profile (CVA)</w:t>
            </w:r>
          </w:p>
        </w:tc>
        <w:tc>
          <w:tcPr/>
          <w:p>
            <w:pPr>
              <w:pStyle w:val="Compact"/>
              <w:jc w:val="left"/>
            </w:pPr>
            <w:r>
              <w:t xml:space="preserve">400 context factors across 9 layers</w:t>
            </w:r>
          </w:p>
        </w:tc>
        <w:tc>
          <w:tcPr/>
          <w:p>
            <w:pPr>
              <w:pStyle w:val="Compact"/>
              <w:jc w:val="left"/>
            </w:pPr>
            <w:r>
              <w:t xml:space="preserve">Ψ-context parameterization</w:t>
            </w:r>
          </w:p>
        </w:tc>
      </w:tr>
      <w:tr>
        <w:tc>
          <w:tcPr/>
          <w:p>
            <w:pPr>
              <w:pStyle w:val="Compact"/>
              <w:jc w:val="left"/>
            </w:pPr>
            <w:r>
              <w:t xml:space="preserve">EBF Paper Database</w:t>
            </w:r>
          </w:p>
        </w:tc>
        <w:tc>
          <w:tcPr/>
          <w:p>
            <w:pPr>
              <w:pStyle w:val="Compact"/>
              <w:jc w:val="left"/>
            </w:pPr>
            <w:r>
              <w:t xml:space="preserve">2,347 peer-reviewed papers</w:t>
            </w:r>
          </w:p>
        </w:tc>
        <w:tc>
          <w:tcPr/>
          <w:p>
            <w:pPr>
              <w:pStyle w:val="Compact"/>
              <w:jc w:val="left"/>
            </w:pPr>
            <w:r>
              <w:t xml:space="preserve">Theory basis, parameter anchoring</w:t>
            </w:r>
          </w:p>
        </w:tc>
      </w:tr>
      <w:tr>
        <w:tc>
          <w:tcPr/>
          <w:p>
            <w:pPr>
              <w:pStyle w:val="Compact"/>
              <w:jc w:val="left"/>
            </w:pPr>
            <w:r>
              <w:t xml:space="preserve">EBF Case Registry</w:t>
            </w:r>
          </w:p>
        </w:tc>
        <w:tc>
          <w:tcPr/>
          <w:p>
            <w:pPr>
              <w:pStyle w:val="Compact"/>
              <w:jc w:val="left"/>
            </w:pPr>
            <w:r>
              <w:t xml:space="preserve">852 behavioral economics cases</w:t>
            </w:r>
          </w:p>
        </w:tc>
        <w:tc>
          <w:tcPr/>
          <w:p>
            <w:pPr>
              <w:pStyle w:val="Compact"/>
              <w:jc w:val="left"/>
            </w:pPr>
            <w:r>
              <w:t xml:space="preserve">Analogous case identification</w:t>
            </w:r>
          </w:p>
        </w:tc>
      </w:tr>
      <w:tr>
        <w:tc>
          <w:tcPr/>
          <w:p>
            <w:pPr>
              <w:pStyle w:val="Compact"/>
              <w:jc w:val="left"/>
            </w:pPr>
            <w:r>
              <w:t xml:space="preserve">EBF Theory Catalog</w:t>
            </w:r>
          </w:p>
        </w:tc>
        <w:tc>
          <w:tcPr/>
          <w:p>
            <w:pPr>
              <w:pStyle w:val="Compact"/>
              <w:jc w:val="left"/>
            </w:pPr>
            <w:r>
              <w:t xml:space="preserve">153 behavioral theories</w:t>
            </w:r>
          </w:p>
        </w:tc>
        <w:tc>
          <w:tcPr/>
          <w:p>
            <w:pPr>
              <w:pStyle w:val="Compact"/>
              <w:jc w:val="left"/>
            </w:pPr>
            <w:r>
              <w:t xml:space="preserve">Model selection</w:t>
            </w:r>
          </w:p>
        </w:tc>
      </w:tr>
      <w:tr>
        <w:tc>
          <w:tcPr/>
          <w:p>
            <w:pPr>
              <w:pStyle w:val="Compact"/>
              <w:jc w:val="left"/>
            </w:pPr>
            <w:r>
              <w:t xml:space="preserve">Monte Carlo Simulation</w:t>
            </w:r>
          </w:p>
        </w:tc>
        <w:tc>
          <w:tcPr/>
          <w:p>
            <w:pPr>
              <w:pStyle w:val="Compact"/>
              <w:jc w:val="left"/>
            </w:pPr>
            <w:r>
              <w:t xml:space="preserve">10,000 draws, seed=2026</w:t>
            </w:r>
          </w:p>
        </w:tc>
        <w:tc>
          <w:tcPr/>
          <w:p>
            <w:pPr>
              <w:pStyle w:val="Compact"/>
              <w:jc w:val="left"/>
            </w:pPr>
            <w:r>
              <w:t xml:space="preserve">Uncertainty quantification</w:t>
            </w:r>
          </w:p>
        </w:tc>
      </w:tr>
    </w:tbl>
    <w:p>
      <w:r>
        <w:pict>
          <v:rect style="width:0;height:1.5pt" o:hralign="center" o:hrstd="t" o:hr="t"/>
        </w:pict>
      </w:r>
    </w:p>
    <w:bookmarkEnd w:id="36"/>
    <w:bookmarkEnd w:id="37"/>
    <w:bookmarkStart w:id="48" w:name="Xcd247d47082cc71d9b75ada18eaff4d35fa4872"/>
    <w:p>
      <w:pPr>
        <w:pStyle w:val="Heading1"/>
      </w:pPr>
      <w:r>
        <w:t xml:space="preserve">3. Question 1: AI Impact on Marketing Value Creation</w:t>
      </w:r>
    </w:p>
    <w:p>
      <w:pPr>
        <w:pStyle w:val="FirstParagraph"/>
      </w:pPr>
      <w:r>
        <w:rPr>
          <w:iCs/>
          <w:i/>
        </w:rPr>
        <w:t xml:space="preserve">How will AI fundamentally change the marketing value chain, and where can UBS deploy AI strategically to create sustainable competitive advantage?</w:t>
      </w:r>
    </w:p>
    <w:bookmarkStart w:id="41" w:name="part-a-generic-transformation-analysis"/>
    <w:p>
      <w:pPr>
        <w:pStyle w:val="Heading2"/>
      </w:pPr>
      <w:r>
        <w:t xml:space="preserve">3.1 Part A: Generic Transformation Analysis</w:t>
      </w:r>
    </w:p>
    <w:bookmarkStart w:id="38" w:name="operational-transformation"/>
    <w:p>
      <w:pPr>
        <w:pStyle w:val="Heading3"/>
      </w:pPr>
      <w:r>
        <w:t xml:space="preserve">3.1.1 Operational Transformation</w:t>
      </w:r>
    </w:p>
    <w:p>
      <w:pPr>
        <w:pStyle w:val="FirstParagraph"/>
      </w:pPr>
      <w:r>
        <w:t xml:space="preserve">AI is reshaping core marketing operations across four fundamental capabilities, as identified by Puntoni et al. (2021): listening, predicting, producing, and communicating.</w:t>
      </w:r>
    </w:p>
    <w:p>
      <w:pPr>
        <w:pStyle w:val="BodyText"/>
      </w:pPr>
      <w:r>
        <w:rPr>
          <w:bCs/>
          <w:b/>
        </w:rPr>
        <w:t xml:space="preserve">Content Generation (Producing)</w:t>
      </w:r>
    </w:p>
    <w:p>
      <w:pPr>
        <w:pStyle w:val="BodyText"/>
      </w:pPr>
      <w:r>
        <w:t xml:space="preserve">Generative AI has fundamentally altered the economics of content production. Large language models (GPT-4, Claude, Gemini) can produce first-draft marketing copy, visual concepts, video scripts, and personalized communications at marginal costs approaching zero. For financial services marketing specifically:</w:t>
      </w:r>
    </w:p>
    <w:p>
      <w:pPr>
        <w:numPr>
          <w:ilvl w:val="0"/>
          <w:numId w:val="1005"/>
        </w:numPr>
        <w:pStyle w:val="Compact"/>
      </w:pPr>
      <w:r>
        <w:rPr>
          <w:iCs/>
          <w:i/>
        </w:rPr>
        <w:t xml:space="preserve">Scale economics:</w:t>
      </w:r>
      <w:r>
        <w:t xml:space="preserve"> </w:t>
      </w:r>
      <w:r>
        <w:t xml:space="preserve">A single prompt can generate hundreds of personalized variants. Content production costs decline by 60–80% for routine assets (social posts, email variants, landing page copy), while production speed increases by 5–10x.</w:t>
      </w:r>
    </w:p>
    <w:p>
      <w:pPr>
        <w:numPr>
          <w:ilvl w:val="0"/>
          <w:numId w:val="1005"/>
        </w:numPr>
        <w:pStyle w:val="Compact"/>
      </w:pPr>
      <w:r>
        <w:rPr>
          <w:iCs/>
          <w:i/>
        </w:rPr>
        <w:t xml:space="preserve">Quality dynamics:</w:t>
      </w:r>
      <w:r>
        <w:t xml:space="preserve"> </w:t>
      </w:r>
      <w:r>
        <w:t xml:space="preserve">AI-generated content has reached parity with junior copywriter quality for informational content. For brand-voice consistency and emotional resonance, human curation remains essential. The quality frontier is advancing rapidly — what required human creation in 2024 is AI-producible in 2026.</w:t>
      </w:r>
    </w:p>
    <w:p>
      <w:pPr>
        <w:numPr>
          <w:ilvl w:val="0"/>
          <w:numId w:val="1005"/>
        </w:numPr>
        <w:pStyle w:val="Compact"/>
      </w:pPr>
      <w:r>
        <w:rPr>
          <w:iCs/>
          <w:i/>
        </w:rPr>
        <w:t xml:space="preserve">Personalization potential:</w:t>
      </w:r>
      <w:r>
        <w:t xml:space="preserve"> </w:t>
      </w:r>
      <w:r>
        <w:t xml:space="preserve">The transformative shift is from segment-level to individual-level personalization. AI can generate content tailored to individual client profiles, investment histories, and communication preferences — at the scale of millions. For wealth management, this means the relationship manager’s personal touch can be scaled digitally for the first time.</w:t>
      </w:r>
    </w:p>
    <w:p>
      <w:pPr>
        <w:numPr>
          <w:ilvl w:val="0"/>
          <w:numId w:val="1005"/>
        </w:numPr>
        <w:pStyle w:val="Compact"/>
      </w:pPr>
      <w:r>
        <w:rPr>
          <w:iCs/>
          <w:i/>
        </w:rPr>
        <w:t xml:space="preserve">Compliance implications:</w:t>
      </w:r>
      <w:r>
        <w:t xml:space="preserve"> </w:t>
      </w:r>
      <w:r>
        <w:t xml:space="preserve">In regulated financial services, every piece of client-facing content requires compliance review. AI changes but does not eliminate this requirement. The emerging model is AI-generated, human-reviewed — where AI handles production and humans handle judgment. This creates new roles (AI content curators, compliance-AI specialists) rather than pure displacement.</w:t>
      </w:r>
    </w:p>
    <w:p>
      <w:pPr>
        <w:pStyle w:val="FirstParagraph"/>
      </w:pPr>
      <w:r>
        <w:rPr>
          <w:bCs/>
          <w:b/>
        </w:rPr>
        <w:t xml:space="preserve">The Bandwagon Test (MS-TP-001):</w:t>
      </w:r>
      <w:r>
        <w:t xml:space="preserve"> </w:t>
      </w:r>
      <w:r>
        <w:t xml:space="preserve">Content generation passes the Acemoglu-Johnson so-so automation test because it creates genuinely new tasks — prompt engineering, AI output quality assurance, brand voice calibration for AI systems — rather than merely automating existing copywriting. The new task creation exceeds the displacement effect.</w:t>
      </w:r>
    </w:p>
    <w:p>
      <w:pPr>
        <w:pStyle w:val="BodyText"/>
      </w:pPr>
      <w:r>
        <w:rPr>
          <w:bCs/>
          <w:b/>
        </w:rPr>
        <w:t xml:space="preserve">Campaign Orchestration (Predicting)</w:t>
      </w:r>
    </w:p>
    <w:p>
      <w:pPr>
        <w:pStyle w:val="BodyText"/>
      </w:pPr>
      <w:r>
        <w:t xml:space="preserve">AI transforms campaign management from periodic, manually-planned initiatives to continuous, algorithmically-optimized programs:</w:t>
      </w:r>
    </w:p>
    <w:p>
      <w:pPr>
        <w:numPr>
          <w:ilvl w:val="0"/>
          <w:numId w:val="1006"/>
        </w:numPr>
        <w:pStyle w:val="Compact"/>
      </w:pPr>
      <w:r>
        <w:rPr>
          <w:iCs/>
          <w:i/>
        </w:rPr>
        <w:t xml:space="preserve">Timing optimization:</w:t>
      </w:r>
      <w:r>
        <w:t xml:space="preserve"> </w:t>
      </w:r>
      <w:r>
        <w:t xml:space="preserve">Machine learning models can identify optimal send times, publication windows, and engagement moments at the individual level, moving beyond demographic-based scheduling.</w:t>
      </w:r>
    </w:p>
    <w:p>
      <w:pPr>
        <w:numPr>
          <w:ilvl w:val="0"/>
          <w:numId w:val="1006"/>
        </w:numPr>
        <w:pStyle w:val="Compact"/>
      </w:pPr>
      <w:r>
        <w:rPr>
          <w:iCs/>
          <w:i/>
        </w:rPr>
        <w:t xml:space="preserve">Channel selection:</w:t>
      </w:r>
      <w:r>
        <w:t xml:space="preserve"> </w:t>
      </w:r>
      <w:r>
        <w:t xml:space="preserve">AI can dynamically allocate budget across channels based on real-time performance signals, customer journey stage, and predicted response probability. This replaces quarterly media plans with continuous optimization.</w:t>
      </w:r>
    </w:p>
    <w:p>
      <w:pPr>
        <w:numPr>
          <w:ilvl w:val="0"/>
          <w:numId w:val="1006"/>
        </w:numPr>
        <w:pStyle w:val="Compact"/>
      </w:pPr>
      <w:r>
        <w:rPr>
          <w:iCs/>
          <w:i/>
        </w:rPr>
        <w:t xml:space="preserve">Budget allocation:</w:t>
      </w:r>
      <w:r>
        <w:t xml:space="preserve"> </w:t>
      </w:r>
      <w:r>
        <w:t xml:space="preserve">Algorithmic budget allocation across markets, segments, and campaigns can improve ROI by 15–30% based on cross-industry benchmarks. For UBS’s multi-market complexity (50+ countries with heterogeneous regulatory requirements), this is particularly valuable.</w:t>
      </w:r>
    </w:p>
    <w:p>
      <w:pPr>
        <w:numPr>
          <w:ilvl w:val="0"/>
          <w:numId w:val="1006"/>
        </w:numPr>
        <w:pStyle w:val="Compact"/>
      </w:pPr>
      <w:r>
        <w:rPr>
          <w:iCs/>
          <w:i/>
        </w:rPr>
        <w:t xml:space="preserve">Automation boundaries:</w:t>
      </w:r>
      <w:r>
        <w:t xml:space="preserve"> </w:t>
      </w:r>
      <w:r>
        <w:t xml:space="preserve">While execution increasingly automates, strategic campaign design — the why and the what — remains inherently human. The creative brief, the strategic positioning, and the brand narrative require judgment that current AI cannot replicate. Campaign orchestration evolves from execution management to strategic oversight.</w:t>
      </w:r>
    </w:p>
    <w:p>
      <w:pPr>
        <w:pStyle w:val="FirstParagraph"/>
      </w:pPr>
      <w:r>
        <w:rPr>
          <w:bCs/>
          <w:b/>
        </w:rPr>
        <w:t xml:space="preserve">Customer Intelligence (Listening)</w:t>
      </w:r>
    </w:p>
    <w:p>
      <w:pPr>
        <w:pStyle w:val="BodyText"/>
      </w:pPr>
      <w:r>
        <w:t xml:space="preserve">AI-powered analytics represent the most significant transformation in marketing capability:</w:t>
      </w:r>
    </w:p>
    <w:p>
      <w:pPr>
        <w:numPr>
          <w:ilvl w:val="0"/>
          <w:numId w:val="1007"/>
        </w:numPr>
        <w:pStyle w:val="Compact"/>
      </w:pPr>
      <w:r>
        <w:rPr>
          <w:iCs/>
          <w:i/>
        </w:rPr>
        <w:t xml:space="preserve">Behavioral segmentation:</w:t>
      </w:r>
      <w:r>
        <w:t xml:space="preserve"> </w:t>
      </w:r>
      <w:r>
        <w:t xml:space="preserve">Traditional segmentation uses demographic and transactional data. AI enables behavioral segmentation — clustering customers by decision patterns, risk attitudes, engagement preferences, and latent needs. For wealth management, this means identifying clients likely to consolidate assets, seek new products, or defect before traditional indicators appear.</w:t>
      </w:r>
    </w:p>
    <w:p>
      <w:pPr>
        <w:numPr>
          <w:ilvl w:val="0"/>
          <w:numId w:val="1007"/>
        </w:numPr>
        <w:pStyle w:val="Compact"/>
      </w:pPr>
      <w:r>
        <w:rPr>
          <w:iCs/>
          <w:i/>
        </w:rPr>
        <w:t xml:space="preserve">Predictive analytics:</w:t>
      </w:r>
      <w:r>
        <w:t xml:space="preserve"> </w:t>
      </w:r>
      <w:r>
        <w:t xml:space="preserve">Machine learning models can predict client behavior with substantially greater accuracy than rule-based systems. Churn prediction, cross-sell propensity, lifetime value estimation, and next-best-action recommendation all improve by 20–40% with well-implemented AI.</w:t>
      </w:r>
    </w:p>
    <w:p>
      <w:pPr>
        <w:numPr>
          <w:ilvl w:val="0"/>
          <w:numId w:val="1007"/>
        </w:numPr>
        <w:pStyle w:val="Compact"/>
      </w:pPr>
      <w:r>
        <w:rPr>
          <w:iCs/>
          <w:i/>
        </w:rPr>
        <w:t xml:space="preserve">Real-time insight:</w:t>
      </w:r>
      <w:r>
        <w:t xml:space="preserve"> </w:t>
      </w:r>
      <w:r>
        <w:t xml:space="preserve">The shift from periodic research to continuous insight generation changes the nature of marketing intelligence. Instead of quarterly brand trackers and annual segmentation studies, AI enables always-on sensing of customer sentiment, competitive dynamics, and market shifts.</w:t>
      </w:r>
    </w:p>
    <w:p>
      <w:pPr>
        <w:numPr>
          <w:ilvl w:val="0"/>
          <w:numId w:val="1007"/>
        </w:numPr>
        <w:pStyle w:val="Compact"/>
      </w:pPr>
      <w:r>
        <w:rPr>
          <w:iCs/>
          <w:i/>
        </w:rPr>
        <w:t xml:space="preserve">Pattern recognition:</w:t>
      </w:r>
      <w:r>
        <w:t xml:space="preserve"> </w:t>
      </w:r>
      <w:r>
        <w:t xml:space="preserve">AI excels at identifying patterns in high-dimensional data that human analysts cannot perceive. For a client base of 3.7 million across 50+ markets, this capability is transformative.</w:t>
      </w:r>
    </w:p>
    <w:p>
      <w:pPr>
        <w:pStyle w:val="FirstParagraph"/>
      </w:pPr>
      <w:r>
        <w:rPr>
          <w:bCs/>
          <w:b/>
        </w:rPr>
        <w:t xml:space="preserve">Performance Optimization (Predicting)</w:t>
      </w:r>
    </w:p>
    <w:p>
      <w:pPr>
        <w:pStyle w:val="BodyText"/>
      </w:pPr>
      <w:r>
        <w:t xml:space="preserve">Real-time testing and optimization capabilities expand dramatically:</w:t>
      </w:r>
    </w:p>
    <w:p>
      <w:pPr>
        <w:numPr>
          <w:ilvl w:val="0"/>
          <w:numId w:val="1008"/>
        </w:numPr>
        <w:pStyle w:val="Compact"/>
      </w:pPr>
      <w:r>
        <w:rPr>
          <w:iCs/>
          <w:i/>
        </w:rPr>
        <w:t xml:space="preserve">A/B testing at scale:</w:t>
      </w:r>
      <w:r>
        <w:t xml:space="preserve"> </w:t>
      </w:r>
      <w:r>
        <w:t xml:space="preserve">AI enables multivariate testing across thousands of combinations simultaneously, moving beyond simple A/B tests to complex optimization.</w:t>
      </w:r>
    </w:p>
    <w:p>
      <w:pPr>
        <w:numPr>
          <w:ilvl w:val="0"/>
          <w:numId w:val="1008"/>
        </w:numPr>
        <w:pStyle w:val="Compact"/>
      </w:pPr>
      <w:r>
        <w:rPr>
          <w:iCs/>
          <w:i/>
        </w:rPr>
        <w:t xml:space="preserve">Dynamic creative optimization:</w:t>
      </w:r>
      <w:r>
        <w:t xml:space="preserve"> </w:t>
      </w:r>
      <w:r>
        <w:t xml:space="preserve">Creative elements (headline, image, CTA, layout) can be assembled and optimized in real-time based on individual viewer context.</w:t>
      </w:r>
    </w:p>
    <w:p>
      <w:pPr>
        <w:numPr>
          <w:ilvl w:val="0"/>
          <w:numId w:val="1008"/>
        </w:numPr>
        <w:pStyle w:val="Compact"/>
      </w:pPr>
      <w:r>
        <w:rPr>
          <w:iCs/>
          <w:i/>
        </w:rPr>
        <w:t xml:space="preserve">Attribution evolution:</w:t>
      </w:r>
      <w:r>
        <w:t xml:space="preserve"> </w:t>
      </w:r>
      <w:r>
        <w:t xml:space="preserve">AI-powered attribution models move beyond last-click and multi-touch to causal inference methods, providing clearer ROI measurement.</w:t>
      </w:r>
    </w:p>
    <w:p>
      <w:pPr>
        <w:numPr>
          <w:ilvl w:val="0"/>
          <w:numId w:val="1008"/>
        </w:numPr>
        <w:pStyle w:val="Compact"/>
      </w:pPr>
      <w:r>
        <w:rPr>
          <w:iCs/>
          <w:i/>
        </w:rPr>
        <w:t xml:space="preserve">Long-cycle challenge:</w:t>
      </w:r>
      <w:r>
        <w:t xml:space="preserve"> </w:t>
      </w:r>
      <w:r>
        <w:t xml:space="preserve">For wealth management, where sales cycles span months to years and purchase frequency is low, traditional performance marketing paradigms require adaptation. AI must optimize for long-term relationship value, not immediate conversion.</w:t>
      </w:r>
    </w:p>
    <w:bookmarkEnd w:id="38"/>
    <w:bookmarkStart w:id="39" w:name="strategic-intelligence-transformation"/>
    <w:p>
      <w:pPr>
        <w:pStyle w:val="Heading3"/>
      </w:pPr>
      <w:r>
        <w:t xml:space="preserve">3.1.2 Strategic Intelligence Transformation</w:t>
      </w:r>
    </w:p>
    <w:p>
      <w:pPr>
        <w:pStyle w:val="FirstParagraph"/>
      </w:pPr>
      <w:r>
        <w:t xml:space="preserve">Beyond operations, AI transforms the strategic intelligence capabilities of marketing organizations.</w:t>
      </w:r>
    </w:p>
    <w:p>
      <w:pPr>
        <w:pStyle w:val="BodyText"/>
      </w:pPr>
      <w:r>
        <w:rPr>
          <w:bCs/>
          <w:b/>
        </w:rPr>
        <w:t xml:space="preserve">Competitive Intelligence</w:t>
      </w:r>
    </w:p>
    <w:p>
      <w:pPr>
        <w:pStyle w:val="BodyText"/>
      </w:pPr>
      <w:r>
        <w:t xml:space="preserve">AI can systematically monitor competitor activities across all digital channels — websites, social media, job postings, patent filings, regulatory submissions — and synthesize patterns that would be impossible for human analysts to detect at scale:</w:t>
      </w:r>
    </w:p>
    <w:p>
      <w:pPr>
        <w:numPr>
          <w:ilvl w:val="0"/>
          <w:numId w:val="1009"/>
        </w:numPr>
        <w:pStyle w:val="Compact"/>
      </w:pPr>
      <w:r>
        <w:rPr>
          <w:iCs/>
          <w:i/>
        </w:rPr>
        <w:t xml:space="preserve">Signal detection:</w:t>
      </w:r>
      <w:r>
        <w:t xml:space="preserve"> </w:t>
      </w:r>
      <w:r>
        <w:t xml:space="preserve">Natural language processing can identify strategic shifts in competitor communications before they become public announcements.</w:t>
      </w:r>
    </w:p>
    <w:p>
      <w:pPr>
        <w:numPr>
          <w:ilvl w:val="0"/>
          <w:numId w:val="1009"/>
        </w:numPr>
        <w:pStyle w:val="Compact"/>
      </w:pPr>
      <w:r>
        <w:rPr>
          <w:iCs/>
          <w:i/>
        </w:rPr>
        <w:t xml:space="preserve">Pricing intelligence:</w:t>
      </w:r>
      <w:r>
        <w:t xml:space="preserve"> </w:t>
      </w:r>
      <w:r>
        <w:t xml:space="preserve">AI can track and analyze competitor pricing strategies across products and markets in real-time.</w:t>
      </w:r>
    </w:p>
    <w:p>
      <w:pPr>
        <w:numPr>
          <w:ilvl w:val="0"/>
          <w:numId w:val="1009"/>
        </w:numPr>
        <w:pStyle w:val="Compact"/>
      </w:pPr>
      <w:r>
        <w:rPr>
          <w:iCs/>
          <w:i/>
        </w:rPr>
        <w:t xml:space="preserve">Talent flow analysis:</w:t>
      </w:r>
      <w:r>
        <w:t xml:space="preserve"> </w:t>
      </w:r>
      <w:r>
        <w:t xml:space="preserve">Monitoring hiring patterns reveals strategic investment priorities months before market announcements.</w:t>
      </w:r>
    </w:p>
    <w:p>
      <w:pPr>
        <w:numPr>
          <w:ilvl w:val="0"/>
          <w:numId w:val="1009"/>
        </w:numPr>
        <w:pStyle w:val="Compact"/>
      </w:pPr>
      <w:r>
        <w:rPr>
          <w:iCs/>
          <w:i/>
        </w:rPr>
        <w:t xml:space="preserve">Limitation:</w:t>
      </w:r>
      <w:r>
        <w:t xml:space="preserve"> </w:t>
      </w:r>
      <w:r>
        <w:t xml:space="preserve">Wealth management competitive intelligence is inherently more opaque than retail banking due to relationship-based models and non-public pricing. AI enhances but cannot fully penetrate this opacity.</w:t>
      </w:r>
    </w:p>
    <w:p>
      <w:pPr>
        <w:pStyle w:val="FirstParagraph"/>
      </w:pPr>
      <w:r>
        <w:rPr>
          <w:bCs/>
          <w:b/>
        </w:rPr>
        <w:t xml:space="preserve">Trend Detection and Early Warning</w:t>
      </w:r>
    </w:p>
    <w:p>
      <w:pPr>
        <w:pStyle w:val="BodyText"/>
      </w:pPr>
      <w:r>
        <w:t xml:space="preserve">AI enables early warning capabilities that are critical for scenario-based strategy:</w:t>
      </w:r>
    </w:p>
    <w:p>
      <w:pPr>
        <w:numPr>
          <w:ilvl w:val="0"/>
          <w:numId w:val="1010"/>
        </w:numPr>
        <w:pStyle w:val="Compact"/>
      </w:pPr>
      <w:r>
        <w:rPr>
          <w:iCs/>
          <w:i/>
        </w:rPr>
        <w:t xml:space="preserve">Weak signal identification:</w:t>
      </w:r>
      <w:r>
        <w:t xml:space="preserve"> </w:t>
      </w:r>
      <w:r>
        <w:t xml:space="preserve">NLP analysis of social media, news, research publications, and regulatory discourse can identify emerging trends before they reach mainstream awareness.</w:t>
      </w:r>
    </w:p>
    <w:p>
      <w:pPr>
        <w:numPr>
          <w:ilvl w:val="0"/>
          <w:numId w:val="1010"/>
        </w:numPr>
        <w:pStyle w:val="Compact"/>
      </w:pPr>
      <w:r>
        <w:rPr>
          <w:iCs/>
          <w:i/>
        </w:rPr>
        <w:t xml:space="preserve">Pattern matching:</w:t>
      </w:r>
      <w:r>
        <w:t xml:space="preserve"> </w:t>
      </w:r>
      <w:r>
        <w:t xml:space="preserve">Historical pattern matching can identify whether current signals resemble the early stages of known disruption patterns.</w:t>
      </w:r>
    </w:p>
    <w:p>
      <w:pPr>
        <w:numPr>
          <w:ilvl w:val="0"/>
          <w:numId w:val="1010"/>
        </w:numPr>
        <w:pStyle w:val="Compact"/>
      </w:pPr>
      <w:r>
        <w:rPr>
          <w:iCs/>
          <w:i/>
        </w:rPr>
        <w:t xml:space="preserve">Quantified uncertainty:</w:t>
      </w:r>
      <w:r>
        <w:t xml:space="preserve"> </w:t>
      </w:r>
      <w:r>
        <w:t xml:space="preserve">Unlike human judgment, AI systems can provide probabilistic assessments of trend trajectories, enabling more rigorous scenario planning.</w:t>
      </w:r>
    </w:p>
    <w:p>
      <w:pPr>
        <w:pStyle w:val="FirstParagraph"/>
      </w:pPr>
      <w:r>
        <w:rPr>
          <w:bCs/>
          <w:b/>
        </w:rPr>
        <w:t xml:space="preserve">Customer Journey Mapping</w:t>
      </w:r>
    </w:p>
    <w:p>
      <w:pPr>
        <w:pStyle w:val="BodyText"/>
      </w:pPr>
      <w:r>
        <w:t xml:space="preserve">AI transforms journey mapping from a qualitative exercise to a quantitative capability:</w:t>
      </w:r>
    </w:p>
    <w:p>
      <w:pPr>
        <w:numPr>
          <w:ilvl w:val="0"/>
          <w:numId w:val="1011"/>
        </w:numPr>
        <w:pStyle w:val="Compact"/>
      </w:pPr>
      <w:r>
        <w:rPr>
          <w:iCs/>
          <w:i/>
        </w:rPr>
        <w:t xml:space="preserve">Behavioral path analysis:</w:t>
      </w:r>
      <w:r>
        <w:t xml:space="preserve"> </w:t>
      </w:r>
      <w:r>
        <w:t xml:space="preserve">AI can trace actual customer journeys across all touchpoints, identifying common paths, friction points, and critical moments.</w:t>
      </w:r>
    </w:p>
    <w:p>
      <w:pPr>
        <w:numPr>
          <w:ilvl w:val="0"/>
          <w:numId w:val="1011"/>
        </w:numPr>
        <w:pStyle w:val="Compact"/>
      </w:pPr>
      <w:r>
        <w:rPr>
          <w:iCs/>
          <w:i/>
        </w:rPr>
        <w:t xml:space="preserve">Micro-moment identification:</w:t>
      </w:r>
      <w:r>
        <w:t xml:space="preserve"> </w:t>
      </w:r>
      <w:r>
        <w:t xml:space="preserve">Machine learning can identify the specific moments — and the specific content — that drive conversion or abandonment.</w:t>
      </w:r>
    </w:p>
    <w:p>
      <w:pPr>
        <w:numPr>
          <w:ilvl w:val="0"/>
          <w:numId w:val="1011"/>
        </w:numPr>
        <w:pStyle w:val="Compact"/>
      </w:pPr>
      <w:r>
        <w:rPr>
          <w:iCs/>
          <w:i/>
        </w:rPr>
        <w:t xml:space="preserve">Predictive journey orchestration:</w:t>
      </w:r>
      <w:r>
        <w:t xml:space="preserve"> </w:t>
      </w:r>
      <w:r>
        <w:t xml:space="preserve">Rather than mapping past journeys, AI can predict likely future journeys and proactively intervene at optimal moments.</w:t>
      </w:r>
    </w:p>
    <w:p>
      <w:pPr>
        <w:pStyle w:val="FirstParagraph"/>
      </w:pPr>
      <w:r>
        <w:rPr>
          <w:bCs/>
          <w:b/>
        </w:rPr>
        <w:t xml:space="preserve">Attribution and ROI</w:t>
      </w:r>
    </w:p>
    <w:p>
      <w:pPr>
        <w:pStyle w:val="BodyText"/>
      </w:pPr>
      <w:r>
        <w:t xml:space="preserve">AI enables more sophisticated marketing effectiveness measurement:</w:t>
      </w:r>
    </w:p>
    <w:p>
      <w:pPr>
        <w:numPr>
          <w:ilvl w:val="0"/>
          <w:numId w:val="1012"/>
        </w:numPr>
        <w:pStyle w:val="Compact"/>
      </w:pPr>
      <w:r>
        <w:rPr>
          <w:iCs/>
          <w:i/>
        </w:rPr>
        <w:t xml:space="preserve">Causal inference:</w:t>
      </w:r>
      <w:r>
        <w:t xml:space="preserve"> </w:t>
      </w:r>
      <w:r>
        <w:t xml:space="preserve">Machine learning methods (double machine learning, causal forests) can estimate the causal effect of marketing interventions, controlling for confounders that traditional methods miss.</w:t>
      </w:r>
    </w:p>
    <w:p>
      <w:pPr>
        <w:numPr>
          <w:ilvl w:val="0"/>
          <w:numId w:val="1012"/>
        </w:numPr>
        <w:pStyle w:val="Compact"/>
      </w:pPr>
      <w:r>
        <w:rPr>
          <w:iCs/>
          <w:i/>
        </w:rPr>
        <w:t xml:space="preserve">Cross-channel attribution:</w:t>
      </w:r>
      <w:r>
        <w:t xml:space="preserve"> </w:t>
      </w:r>
      <w:r>
        <w:t xml:space="preserve">AI models can disentangle the contributions of different channels and touchpoints to conversion outcomes.</w:t>
      </w:r>
    </w:p>
    <w:p>
      <w:pPr>
        <w:numPr>
          <w:ilvl w:val="0"/>
          <w:numId w:val="1012"/>
        </w:numPr>
        <w:pStyle w:val="Compact"/>
      </w:pPr>
      <w:r>
        <w:rPr>
          <w:iCs/>
          <w:i/>
        </w:rPr>
        <w:t xml:space="preserve">Incrementality measurement:</w:t>
      </w:r>
      <w:r>
        <w:t xml:space="preserve"> </w:t>
      </w:r>
      <w:r>
        <w:t xml:space="preserve">AI can identify which marketing spend is truly incremental versus spending that captures demand that would have occurred anyway.</w:t>
      </w:r>
    </w:p>
    <w:bookmarkEnd w:id="39"/>
    <w:bookmarkStart w:id="40" w:name="ecosystem-transformation"/>
    <w:p>
      <w:pPr>
        <w:pStyle w:val="Heading3"/>
      </w:pPr>
      <w:r>
        <w:t xml:space="preserve">3.1.3 Ecosystem Transformation</w:t>
      </w:r>
    </w:p>
    <w:p>
      <w:pPr>
        <w:pStyle w:val="FirstParagraph"/>
      </w:pPr>
      <w:r>
        <w:t xml:space="preserve">The most profound — and most uncertain — transformation occurs at the ecosystem level.</w:t>
      </w:r>
    </w:p>
    <w:p>
      <w:pPr>
        <w:pStyle w:val="BodyText"/>
      </w:pPr>
      <w:r>
        <w:rPr>
          <w:bCs/>
          <w:b/>
        </w:rPr>
        <w:t xml:space="preserve">AI-Mediated Customer Relationships</w:t>
      </w:r>
    </w:p>
    <w:p>
      <w:pPr>
        <w:pStyle w:val="BodyText"/>
      </w:pPr>
      <w:r>
        <w:t xml:space="preserve">When customers increasingly use AI assistants (ChatGPT, Gemini, Copilot, Siri) for financial decision-making, the marketing touchpoint changes fundamentally:</w:t>
      </w:r>
    </w:p>
    <w:p>
      <w:pPr>
        <w:numPr>
          <w:ilvl w:val="0"/>
          <w:numId w:val="1013"/>
        </w:numPr>
        <w:pStyle w:val="Compact"/>
      </w:pPr>
      <w:r>
        <w:rPr>
          <w:iCs/>
          <w:i/>
        </w:rPr>
        <w:t xml:space="preserve">Discovery shift:</w:t>
      </w:r>
      <w:r>
        <w:t xml:space="preserve"> </w:t>
      </w:r>
      <w:r>
        <w:t xml:space="preserve">Instead of customers searching for financial products on Google, they ask AI assistants:</w:t>
      </w:r>
      <w:r>
        <w:t xml:space="preserve"> </w:t>
      </w:r>
      <w:r>
        <w:t xml:space="preserve">“</w:t>
      </w:r>
      <w:r>
        <w:t xml:space="preserve">What’s the best wealth management option for someone with my profile?</w:t>
      </w:r>
      <w:r>
        <w:t xml:space="preserve">”</w:t>
      </w:r>
      <w:r>
        <w:t xml:space="preserve"> </w:t>
      </w:r>
      <w:r>
        <w:t xml:space="preserve">The AI curates, compares, and recommends — and the customer may never visit UBS.com. This is the single most disruptive shift in financial services marketing.</w:t>
      </w:r>
    </w:p>
    <w:p>
      <w:pPr>
        <w:numPr>
          <w:ilvl w:val="0"/>
          <w:numId w:val="1013"/>
        </w:numPr>
        <w:pStyle w:val="Compact"/>
      </w:pPr>
      <w:r>
        <w:rPr>
          <w:iCs/>
          <w:i/>
        </w:rPr>
        <w:t xml:space="preserve">Trust transfer:</w:t>
      </w:r>
      <w:r>
        <w:t xml:space="preserve"> </w:t>
      </w:r>
      <w:r>
        <w:t xml:space="preserve">The Puntoni et al. (2021) framework identifies a fundamental tension between «served» and «exploited» — customers appreciate AI convenience but fear data exploitation. In wealth management, this tension is acute: clients value discretion and trust, yet AI systems require data to function.</w:t>
      </w:r>
    </w:p>
    <w:p>
      <w:pPr>
        <w:numPr>
          <w:ilvl w:val="0"/>
          <w:numId w:val="1013"/>
        </w:numPr>
        <w:pStyle w:val="Compact"/>
      </w:pPr>
      <w:r>
        <w:rPr>
          <w:iCs/>
          <w:i/>
        </w:rPr>
        <w:t xml:space="preserve">Recommendation architecture:</w:t>
      </w:r>
      <w:r>
        <w:t xml:space="preserve"> </w:t>
      </w:r>
      <w:r>
        <w:t xml:space="preserve">AI assistants’ recommendation logic is opaque. Unlike search engine optimization (SEO), which has mature best practices,</w:t>
      </w:r>
      <w:r>
        <w:t xml:space="preserve"> </w:t>
      </w:r>
      <w:r>
        <w:t xml:space="preserve">“</w:t>
      </w:r>
      <w:r>
        <w:t xml:space="preserve">AI assistant optimization</w:t>
      </w:r>
      <w:r>
        <w:t xml:space="preserve">”</w:t>
      </w:r>
      <w:r>
        <w:t xml:space="preserve"> </w:t>
      </w:r>
      <w:r>
        <w:t xml:space="preserve">(AIO) is nascent. How UBS appears in AI financial recommendations will be as consequential as how it appeared in Google search results a decade ago.</w:t>
      </w:r>
    </w:p>
    <w:p>
      <w:pPr>
        <w:numPr>
          <w:ilvl w:val="0"/>
          <w:numId w:val="1013"/>
        </w:numPr>
        <w:pStyle w:val="Compact"/>
      </w:pPr>
      <w:r>
        <w:rPr>
          <w:iCs/>
          <w:i/>
        </w:rPr>
        <w:t xml:space="preserve">Disintermediation risk:</w:t>
      </w:r>
      <w:r>
        <w:t xml:space="preserve"> </w:t>
      </w:r>
      <w:r>
        <w:t xml:space="preserve">If BigTech platforms control the AI assistant interface, banks risk becoming invisible backend providers — like payment processors today. The marketing brand becomes irrelevant if the customer relationship is owned by Apple, Google, or OpenAI.</w:t>
      </w:r>
    </w:p>
    <w:p>
      <w:pPr>
        <w:pStyle w:val="FirstParagraph"/>
      </w:pPr>
      <w:r>
        <w:rPr>
          <w:bCs/>
          <w:b/>
        </w:rPr>
        <w:t xml:space="preserve">New Channel Emergence</w:t>
      </w:r>
    </w:p>
    <w:p>
      <w:pPr>
        <w:pStyle w:val="BodyText"/>
      </w:pPr>
      <w:r>
        <w:t xml:space="preserve">AI creates entirely new marketing channels:</w:t>
      </w:r>
    </w:p>
    <w:p>
      <w:pPr>
        <w:numPr>
          <w:ilvl w:val="0"/>
          <w:numId w:val="1014"/>
        </w:numPr>
        <w:pStyle w:val="Compact"/>
      </w:pPr>
      <w:r>
        <w:rPr>
          <w:iCs/>
          <w:i/>
        </w:rPr>
        <w:t xml:space="preserve">Conversational marketing:</w:t>
      </w:r>
      <w:r>
        <w:t xml:space="preserve"> </w:t>
      </w:r>
      <w:r>
        <w:t xml:space="preserve">AI chatbots and voice assistants enable natural-language marketing at scale — a channel that did not exist before 2023.</w:t>
      </w:r>
    </w:p>
    <w:p>
      <w:pPr>
        <w:numPr>
          <w:ilvl w:val="0"/>
          <w:numId w:val="1014"/>
        </w:numPr>
        <w:pStyle w:val="Compact"/>
      </w:pPr>
      <w:r>
        <w:rPr>
          <w:iCs/>
          <w:i/>
        </w:rPr>
        <w:t xml:space="preserve">Proactive outreach:</w:t>
      </w:r>
      <w:r>
        <w:t xml:space="preserve"> </w:t>
      </w:r>
      <w:r>
        <w:t xml:space="preserve">AI can identify optimal moments for client outreach and generate personalized communications, creating an always-on marketing engine.</w:t>
      </w:r>
    </w:p>
    <w:p>
      <w:pPr>
        <w:numPr>
          <w:ilvl w:val="0"/>
          <w:numId w:val="1014"/>
        </w:numPr>
        <w:pStyle w:val="Compact"/>
      </w:pPr>
      <w:r>
        <w:rPr>
          <w:iCs/>
          <w:i/>
        </w:rPr>
        <w:t xml:space="preserve">AI-native content formats:</w:t>
      </w:r>
      <w:r>
        <w:t xml:space="preserve"> </w:t>
      </w:r>
      <w:r>
        <w:t xml:space="preserve">New content types optimized for AI consumption (structured data, knowledge graphs, API-accessible information) become as important as visual design.</w:t>
      </w:r>
    </w:p>
    <w:p>
      <w:pPr>
        <w:pStyle w:val="FirstParagraph"/>
      </w:pPr>
      <w:r>
        <w:rPr>
          <w:bCs/>
          <w:b/>
        </w:rPr>
        <w:t xml:space="preserve">Platform Dependencies</w:t>
      </w:r>
    </w:p>
    <w:p>
      <w:pPr>
        <w:pStyle w:val="BodyText"/>
      </w:pPr>
      <w:r>
        <w:t xml:space="preserve">Relationships with AI platform providers reshape marketing strategy:</w:t>
      </w:r>
    </w:p>
    <w:p>
      <w:pPr>
        <w:numPr>
          <w:ilvl w:val="0"/>
          <w:numId w:val="1015"/>
        </w:numPr>
        <w:pStyle w:val="Compact"/>
      </w:pPr>
      <w:r>
        <w:rPr>
          <w:iCs/>
          <w:i/>
        </w:rPr>
        <w:t xml:space="preserve">Platform concentration risk:</w:t>
      </w:r>
      <w:r>
        <w:t xml:space="preserve"> </w:t>
      </w:r>
      <w:r>
        <w:t xml:space="preserve">If three or four AI assistants dominate financial queries, UBS becomes dependent on platform relationships — similar to the Google/Facebook duopoly in digital advertising, but with higher stakes.</w:t>
      </w:r>
    </w:p>
    <w:p>
      <w:pPr>
        <w:numPr>
          <w:ilvl w:val="0"/>
          <w:numId w:val="1015"/>
        </w:numPr>
        <w:pStyle w:val="Compact"/>
      </w:pPr>
      <w:r>
        <w:rPr>
          <w:iCs/>
          <w:i/>
        </w:rPr>
        <w:t xml:space="preserve">Data reciprocity:</w:t>
      </w:r>
      <w:r>
        <w:t xml:space="preserve"> </w:t>
      </w:r>
      <w:r>
        <w:t xml:space="preserve">AI platforms may demand data sharing as a condition of favorable recommendation, creating tensions with client confidentiality obligations.</w:t>
      </w:r>
    </w:p>
    <w:p>
      <w:pPr>
        <w:numPr>
          <w:ilvl w:val="0"/>
          <w:numId w:val="1015"/>
        </w:numPr>
        <w:pStyle w:val="Compact"/>
      </w:pPr>
      <w:r>
        <w:rPr>
          <w:iCs/>
          <w:i/>
        </w:rPr>
        <w:t xml:space="preserve">Regulatory uncertainty:</w:t>
      </w:r>
      <w:r>
        <w:t xml:space="preserve"> </w:t>
      </w:r>
      <w:r>
        <w:t xml:space="preserve">The regulatory framework for AI-mediated financial recommendations is unformed. FINMA, the EU AI Act, and national regulators are in early stages of addressing this space.</w:t>
      </w:r>
    </w:p>
    <w:bookmarkEnd w:id="40"/>
    <w:bookmarkEnd w:id="41"/>
    <w:bookmarkStart w:id="47" w:name="part-b-ubs-specific-application"/>
    <w:p>
      <w:pPr>
        <w:pStyle w:val="Heading2"/>
      </w:pPr>
      <w:r>
        <w:t xml:space="preserve">3.2 Part B: UBS-Specific Application</w:t>
      </w:r>
    </w:p>
    <w:bookmarkStart w:id="42" w:name="assessment-matrix"/>
    <w:p>
      <w:pPr>
        <w:pStyle w:val="Heading3"/>
      </w:pPr>
      <w:r>
        <w:t xml:space="preserve">3.2.1 Assessment Matrix</w:t>
      </w:r>
    </w:p>
    <w:p>
      <w:pPr>
        <w:pStyle w:val="FirstParagraph"/>
      </w:pPr>
      <w:r>
        <w:t xml:space="preserve">Applying the generic analysis to UBS’s specific context, competitive position, and strategic priorities, we assess seven marketing functions across six dimensions:</w:t>
      </w:r>
    </w:p>
    <w:tbl>
      <w:tblPr>
        <w:tblStyle w:val="Table"/>
        <w:tblW w:type="pct" w:w="5000"/>
        <w:tblLook w:firstRow="1" w:lastRow="0" w:firstColumn="0" w:lastColumn="0" w:noHBand="0" w:noVBand="0" w:val="0020"/>
        <w:jc w:val="start"/>
      </w:tblPr>
      <w:tblGrid>
        <w:gridCol w:w="808"/>
        <w:gridCol w:w="1050"/>
        <w:gridCol w:w="1454"/>
        <w:gridCol w:w="1293"/>
        <w:gridCol w:w="1050"/>
        <w:gridCol w:w="1293"/>
        <w:gridCol w:w="969"/>
      </w:tblGrid>
      <w:tr>
        <w:trPr>
          <w:tblHeader w:val="true"/>
        </w:trPr>
        <w:tc>
          <w:tcPr/>
          <w:p>
            <w:pPr>
              <w:pStyle w:val="Compact"/>
              <w:jc w:val="left"/>
            </w:pPr>
            <w:r>
              <w:t xml:space="preserve">Function</w:t>
            </w:r>
          </w:p>
        </w:tc>
        <w:tc>
          <w:tcPr/>
          <w:p>
            <w:pPr>
              <w:pStyle w:val="Compact"/>
              <w:jc w:val="left"/>
            </w:pPr>
            <w:r>
              <w:t xml:space="preserve">AI Potential</w:t>
            </w:r>
          </w:p>
        </w:tc>
        <w:tc>
          <w:tcPr/>
          <w:p>
            <w:pPr>
              <w:pStyle w:val="Compact"/>
              <w:jc w:val="left"/>
            </w:pPr>
            <w:r>
              <w:t xml:space="preserve">Current Maturity</w:t>
            </w:r>
          </w:p>
        </w:tc>
        <w:tc>
          <w:tcPr/>
          <w:p>
            <w:pPr>
              <w:pStyle w:val="Compact"/>
              <w:jc w:val="left"/>
            </w:pPr>
            <w:r>
              <w:t xml:space="preserve">Differentiation</w:t>
            </w:r>
          </w:p>
        </w:tc>
        <w:tc>
          <w:tcPr/>
          <w:p>
            <w:pPr>
              <w:pStyle w:val="Compact"/>
              <w:jc w:val="left"/>
            </w:pPr>
            <w:r>
              <w:t xml:space="preserve">Feasibility</w:t>
            </w:r>
          </w:p>
        </w:tc>
        <w:tc>
          <w:tcPr/>
          <w:p>
            <w:pPr>
              <w:pStyle w:val="Compact"/>
              <w:jc w:val="left"/>
            </w:pPr>
            <w:r>
              <w:t xml:space="preserve">Classification</w:t>
            </w:r>
          </w:p>
        </w:tc>
        <w:tc>
          <w:tcPr/>
          <w:p>
            <w:pPr>
              <w:pStyle w:val="Compact"/>
              <w:jc w:val="left"/>
            </w:pPr>
            <w:r>
              <w:t xml:space="preserve">Value Score</w:t>
            </w:r>
          </w:p>
        </w:tc>
      </w:tr>
      <w:tr>
        <w:tc>
          <w:tcPr/>
          <w:p>
            <w:pPr>
              <w:pStyle w:val="Compact"/>
              <w:jc w:val="left"/>
            </w:pPr>
            <w:r>
              <w:rPr>
                <w:bCs/>
                <w:b/>
              </w:rPr>
              <w:t xml:space="preserve">F3: Customer Intelligence</w:t>
            </w:r>
          </w:p>
        </w:tc>
        <w:tc>
          <w:tcPr/>
          <w:p>
            <w:pPr>
              <w:pStyle w:val="Compact"/>
              <w:jc w:val="left"/>
            </w:pPr>
            <w:r>
              <w:t xml:space="preserve">0.90</w:t>
            </w:r>
          </w:p>
        </w:tc>
        <w:tc>
          <w:tcPr/>
          <w:p>
            <w:pPr>
              <w:pStyle w:val="Compact"/>
              <w:jc w:val="left"/>
            </w:pPr>
            <w:r>
              <w:t xml:space="preserve">0.40</w:t>
            </w:r>
          </w:p>
        </w:tc>
        <w:tc>
          <w:tcPr/>
          <w:p>
            <w:pPr>
              <w:pStyle w:val="Compact"/>
              <w:jc w:val="left"/>
            </w:pPr>
            <w:r>
              <w:t xml:space="preserve">0.65</w:t>
            </w:r>
          </w:p>
        </w:tc>
        <w:tc>
          <w:tcPr/>
          <w:p>
            <w:pPr>
              <w:pStyle w:val="Compact"/>
              <w:jc w:val="left"/>
            </w:pPr>
            <w:r>
              <w:t xml:space="preserve">0.60</w:t>
            </w:r>
          </w:p>
        </w:tc>
        <w:tc>
          <w:tcPr/>
          <w:p>
            <w:pPr>
              <w:pStyle w:val="Compact"/>
              <w:jc w:val="left"/>
            </w:pPr>
            <w:r>
              <w:rPr>
                <w:bCs/>
                <w:b/>
              </w:rPr>
              <w:t xml:space="preserve">Must-Win</w:t>
            </w:r>
          </w:p>
        </w:tc>
        <w:tc>
          <w:tcPr/>
          <w:p>
            <w:pPr>
              <w:pStyle w:val="Compact"/>
              <w:jc w:val="left"/>
            </w:pPr>
            <w:r>
              <w:t xml:space="preserve">0.265</w:t>
            </w:r>
          </w:p>
        </w:tc>
      </w:tr>
      <w:tr>
        <w:tc>
          <w:tcPr/>
          <w:p>
            <w:pPr>
              <w:pStyle w:val="Compact"/>
              <w:jc w:val="left"/>
            </w:pPr>
            <w:r>
              <w:rPr>
                <w:bCs/>
                <w:b/>
              </w:rPr>
              <w:t xml:space="preserve">F5: AI-Mediated Discovery</w:t>
            </w:r>
          </w:p>
        </w:tc>
        <w:tc>
          <w:tcPr/>
          <w:p>
            <w:pPr>
              <w:pStyle w:val="Compact"/>
              <w:jc w:val="left"/>
            </w:pPr>
            <w:r>
              <w:t xml:space="preserve">0.95</w:t>
            </w:r>
          </w:p>
        </w:tc>
        <w:tc>
          <w:tcPr/>
          <w:p>
            <w:pPr>
              <w:pStyle w:val="Compact"/>
              <w:jc w:val="left"/>
            </w:pPr>
            <w:r>
              <w:t xml:space="preserve">0.10</w:t>
            </w:r>
          </w:p>
        </w:tc>
        <w:tc>
          <w:tcPr/>
          <w:p>
            <w:pPr>
              <w:pStyle w:val="Compact"/>
              <w:jc w:val="left"/>
            </w:pPr>
            <w:r>
              <w:t xml:space="preserve">0.85</w:t>
            </w:r>
          </w:p>
        </w:tc>
        <w:tc>
          <w:tcPr/>
          <w:p>
            <w:pPr>
              <w:pStyle w:val="Compact"/>
              <w:jc w:val="left"/>
            </w:pPr>
            <w:r>
              <w:t xml:space="preserve">0.35</w:t>
            </w:r>
          </w:p>
        </w:tc>
        <w:tc>
          <w:tcPr/>
          <w:p>
            <w:pPr>
              <w:pStyle w:val="Compact"/>
              <w:jc w:val="left"/>
            </w:pPr>
            <w:r>
              <w:rPr>
                <w:bCs/>
                <w:b/>
              </w:rPr>
              <w:t xml:space="preserve">Must-Win</w:t>
            </w:r>
          </w:p>
        </w:tc>
        <w:tc>
          <w:tcPr/>
          <w:p>
            <w:pPr>
              <w:pStyle w:val="Compact"/>
              <w:jc w:val="left"/>
            </w:pPr>
            <w:r>
              <w:t xml:space="preserve">0.274</w:t>
            </w:r>
          </w:p>
        </w:tc>
      </w:tr>
      <w:tr>
        <w:tc>
          <w:tcPr/>
          <w:p>
            <w:pPr>
              <w:pStyle w:val="Compact"/>
              <w:jc w:val="left"/>
            </w:pPr>
            <w:r>
              <w:t xml:space="preserve">F1: Content Generation</w:t>
            </w:r>
          </w:p>
        </w:tc>
        <w:tc>
          <w:tcPr/>
          <w:p>
            <w:pPr>
              <w:pStyle w:val="Compact"/>
              <w:jc w:val="left"/>
            </w:pPr>
            <w:r>
              <w:t xml:space="preserve">0.85</w:t>
            </w:r>
          </w:p>
        </w:tc>
        <w:tc>
          <w:tcPr/>
          <w:p>
            <w:pPr>
              <w:pStyle w:val="Compact"/>
              <w:jc w:val="left"/>
            </w:pPr>
            <w:r>
              <w:t xml:space="preserve">0.30</w:t>
            </w:r>
          </w:p>
        </w:tc>
        <w:tc>
          <w:tcPr/>
          <w:p>
            <w:pPr>
              <w:pStyle w:val="Compact"/>
              <w:jc w:val="left"/>
            </w:pPr>
            <w:r>
              <w:t xml:space="preserve">0.40</w:t>
            </w:r>
          </w:p>
        </w:tc>
        <w:tc>
          <w:tcPr/>
          <w:p>
            <w:pPr>
              <w:pStyle w:val="Compact"/>
              <w:jc w:val="left"/>
            </w:pPr>
            <w:r>
              <w:t xml:space="preserve">0.75</w:t>
            </w:r>
          </w:p>
        </w:tc>
        <w:tc>
          <w:tcPr/>
          <w:p>
            <w:pPr>
              <w:pStyle w:val="Compact"/>
              <w:jc w:val="left"/>
            </w:pPr>
            <w:r>
              <w:t xml:space="preserve">Fast-Follower</w:t>
            </w:r>
          </w:p>
        </w:tc>
        <w:tc>
          <w:tcPr/>
          <w:p>
            <w:pPr>
              <w:pStyle w:val="Compact"/>
              <w:jc w:val="left"/>
            </w:pPr>
            <w:r>
              <w:t xml:space="preserve">0.191</w:t>
            </w:r>
          </w:p>
        </w:tc>
      </w:tr>
      <w:tr>
        <w:tc>
          <w:tcPr/>
          <w:p>
            <w:pPr>
              <w:pStyle w:val="Compact"/>
              <w:jc w:val="left"/>
            </w:pPr>
            <w:r>
              <w:t xml:space="preserve">F4: Performance Optimization</w:t>
            </w:r>
          </w:p>
        </w:tc>
        <w:tc>
          <w:tcPr/>
          <w:p>
            <w:pPr>
              <w:pStyle w:val="Compact"/>
              <w:jc w:val="left"/>
            </w:pPr>
            <w:r>
              <w:t xml:space="preserve">0.85</w:t>
            </w:r>
          </w:p>
        </w:tc>
        <w:tc>
          <w:tcPr/>
          <w:p>
            <w:pPr>
              <w:pStyle w:val="Compact"/>
              <w:jc w:val="left"/>
            </w:pPr>
            <w:r>
              <w:t xml:space="preserve">0.45</w:t>
            </w:r>
          </w:p>
        </w:tc>
        <w:tc>
          <w:tcPr/>
          <w:p>
            <w:pPr>
              <w:pStyle w:val="Compact"/>
              <w:jc w:val="left"/>
            </w:pPr>
            <w:r>
              <w:t xml:space="preserve">0.30</w:t>
            </w:r>
          </w:p>
        </w:tc>
        <w:tc>
          <w:tcPr/>
          <w:p>
            <w:pPr>
              <w:pStyle w:val="Compact"/>
              <w:jc w:val="left"/>
            </w:pPr>
            <w:r>
              <w:t xml:space="preserve">0.80</w:t>
            </w:r>
          </w:p>
        </w:tc>
        <w:tc>
          <w:tcPr/>
          <w:p>
            <w:pPr>
              <w:pStyle w:val="Compact"/>
              <w:jc w:val="left"/>
            </w:pPr>
            <w:r>
              <w:t xml:space="preserve">Fast-Follower</w:t>
            </w:r>
          </w:p>
        </w:tc>
        <w:tc>
          <w:tcPr/>
          <w:p>
            <w:pPr>
              <w:pStyle w:val="Compact"/>
              <w:jc w:val="left"/>
            </w:pPr>
            <w:r>
              <w:t xml:space="preserve">0.119</w:t>
            </w:r>
          </w:p>
        </w:tc>
      </w:tr>
      <w:tr>
        <w:tc>
          <w:tcPr/>
          <w:p>
            <w:pPr>
              <w:pStyle w:val="Compact"/>
              <w:jc w:val="left"/>
            </w:pPr>
            <w:r>
              <w:t xml:space="preserve">F2: Campaign Orchestration</w:t>
            </w:r>
          </w:p>
        </w:tc>
        <w:tc>
          <w:tcPr/>
          <w:p>
            <w:pPr>
              <w:pStyle w:val="Compact"/>
              <w:jc w:val="left"/>
            </w:pPr>
            <w:r>
              <w:t xml:space="preserve">0.80</w:t>
            </w:r>
          </w:p>
        </w:tc>
        <w:tc>
          <w:tcPr/>
          <w:p>
            <w:pPr>
              <w:pStyle w:val="Compact"/>
              <w:jc w:val="left"/>
            </w:pPr>
            <w:r>
              <w:t xml:space="preserve">0.35</w:t>
            </w:r>
          </w:p>
        </w:tc>
        <w:tc>
          <w:tcPr/>
          <w:p>
            <w:pPr>
              <w:pStyle w:val="Compact"/>
              <w:jc w:val="left"/>
            </w:pPr>
            <w:r>
              <w:t xml:space="preserve">0.35</w:t>
            </w:r>
          </w:p>
        </w:tc>
        <w:tc>
          <w:tcPr/>
          <w:p>
            <w:pPr>
              <w:pStyle w:val="Compact"/>
              <w:jc w:val="left"/>
            </w:pPr>
            <w:r>
              <w:t xml:space="preserve">0.70</w:t>
            </w:r>
          </w:p>
        </w:tc>
        <w:tc>
          <w:tcPr/>
          <w:p>
            <w:pPr>
              <w:pStyle w:val="Compact"/>
              <w:jc w:val="left"/>
            </w:pPr>
            <w:r>
              <w:t xml:space="preserve">Build</w:t>
            </w:r>
          </w:p>
        </w:tc>
        <w:tc>
          <w:tcPr/>
          <w:p>
            <w:pPr>
              <w:pStyle w:val="Compact"/>
              <w:jc w:val="left"/>
            </w:pPr>
            <w:r>
              <w:t xml:space="preserve">0.113</w:t>
            </w:r>
          </w:p>
        </w:tc>
      </w:tr>
      <w:tr>
        <w:tc>
          <w:tcPr/>
          <w:p>
            <w:pPr>
              <w:pStyle w:val="Compact"/>
              <w:jc w:val="left"/>
            </w:pPr>
            <w:r>
              <w:t xml:space="preserve">F7: Brand Crisis Management</w:t>
            </w:r>
          </w:p>
        </w:tc>
        <w:tc>
          <w:tcPr/>
          <w:p>
            <w:pPr>
              <w:pStyle w:val="Compact"/>
              <w:jc w:val="left"/>
            </w:pPr>
            <w:r>
              <w:t xml:space="preserve">0.80</w:t>
            </w:r>
          </w:p>
        </w:tc>
        <w:tc>
          <w:tcPr/>
          <w:p>
            <w:pPr>
              <w:pStyle w:val="Compact"/>
              <w:jc w:val="left"/>
            </w:pPr>
            <w:r>
              <w:t xml:space="preserve">0.20</w:t>
            </w:r>
          </w:p>
        </w:tc>
        <w:tc>
          <w:tcPr/>
          <w:p>
            <w:pPr>
              <w:pStyle w:val="Compact"/>
              <w:jc w:val="left"/>
            </w:pPr>
            <w:r>
              <w:t xml:space="preserve">0.50</w:t>
            </w:r>
          </w:p>
        </w:tc>
        <w:tc>
          <w:tcPr/>
          <w:p>
            <w:pPr>
              <w:pStyle w:val="Compact"/>
              <w:jc w:val="left"/>
            </w:pPr>
            <w:r>
              <w:t xml:space="preserve">0.70</w:t>
            </w:r>
          </w:p>
        </w:tc>
        <w:tc>
          <w:tcPr/>
          <w:p>
            <w:pPr>
              <w:pStyle w:val="Compact"/>
              <w:jc w:val="left"/>
            </w:pPr>
            <w:r>
              <w:t xml:space="preserve">Build</w:t>
            </w:r>
          </w:p>
        </w:tc>
        <w:tc>
          <w:tcPr/>
          <w:p>
            <w:pPr>
              <w:pStyle w:val="Compact"/>
              <w:jc w:val="left"/>
            </w:pPr>
            <w:r>
              <w:t xml:space="preserve">0.098</w:t>
            </w:r>
          </w:p>
        </w:tc>
      </w:tr>
      <w:tr>
        <w:tc>
          <w:tcPr/>
          <w:p>
            <w:pPr>
              <w:pStyle w:val="Compact"/>
              <w:jc w:val="left"/>
            </w:pPr>
            <w:r>
              <w:t xml:space="preserve">F6: Competitive Intelligence</w:t>
            </w:r>
          </w:p>
        </w:tc>
        <w:tc>
          <w:tcPr/>
          <w:p>
            <w:pPr>
              <w:pStyle w:val="Compact"/>
              <w:jc w:val="left"/>
            </w:pPr>
            <w:r>
              <w:t xml:space="preserve">0.75</w:t>
            </w:r>
          </w:p>
        </w:tc>
        <w:tc>
          <w:tcPr/>
          <w:p>
            <w:pPr>
              <w:pStyle w:val="Compact"/>
              <w:jc w:val="left"/>
            </w:pPr>
            <w:r>
              <w:t xml:space="preserve">0.25</w:t>
            </w:r>
          </w:p>
        </w:tc>
        <w:tc>
          <w:tcPr/>
          <w:p>
            <w:pPr>
              <w:pStyle w:val="Compact"/>
              <w:jc w:val="left"/>
            </w:pPr>
            <w:r>
              <w:t xml:space="preserve">0.25</w:t>
            </w:r>
          </w:p>
        </w:tc>
        <w:tc>
          <w:tcPr/>
          <w:p>
            <w:pPr>
              <w:pStyle w:val="Compact"/>
              <w:jc w:val="left"/>
            </w:pPr>
            <w:r>
              <w:t xml:space="preserve">0.85</w:t>
            </w:r>
          </w:p>
        </w:tc>
        <w:tc>
          <w:tcPr/>
          <w:p>
            <w:pPr>
              <w:pStyle w:val="Compact"/>
              <w:jc w:val="left"/>
            </w:pPr>
            <w:r>
              <w:t xml:space="preserve">Supplement</w:t>
            </w:r>
          </w:p>
        </w:tc>
        <w:tc>
          <w:tcPr/>
          <w:p>
            <w:pPr>
              <w:pStyle w:val="Compact"/>
              <w:jc w:val="left"/>
            </w:pPr>
            <w:r>
              <w:t xml:space="preserve">0.064</w:t>
            </w:r>
          </w:p>
        </w:tc>
      </w:tr>
    </w:tbl>
    <w:p>
      <w:pPr>
        <w:pStyle w:val="BodyText"/>
      </w:pPr>
      <w:r>
        <w:rPr>
          <w:bCs/>
          <w:b/>
        </w:rPr>
        <w:t xml:space="preserve">Total AI Marketing Value: V_total = 0.90 [0.75, 1.07] (MC-validated)</w:t>
      </w:r>
    </w:p>
    <w:p>
      <w:pPr>
        <w:pStyle w:val="BodyText"/>
      </w:pPr>
      <w:r>
        <w:t xml:space="preserve">The value scores are computed using Axiom AIM-1: V_f = w_f × α_f × φ_f × (1 + δ_f), where α is AI potential, φ is feasibility, δ is differentiation premium, and w is strategic weight (must-win functions receive 1.5× weight).</w:t>
      </w:r>
    </w:p>
    <w:bookmarkEnd w:id="42"/>
    <w:bookmarkStart w:id="43" w:name="must-win-capabilities-deep-dive"/>
    <w:p>
      <w:pPr>
        <w:pStyle w:val="Heading3"/>
      </w:pPr>
      <w:r>
        <w:t xml:space="preserve">3.2.2 Must-Win Capabilities: Deep Dive</w:t>
      </w:r>
    </w:p>
    <w:p>
      <w:pPr>
        <w:pStyle w:val="FirstParagraph"/>
      </w:pPr>
      <w:r>
        <w:rPr>
          <w:bCs/>
          <w:b/>
        </w:rPr>
        <w:t xml:space="preserve">F3: Customer Intelligence — The Data Moat</w:t>
      </w:r>
    </w:p>
    <w:p>
      <w:pPr>
        <w:pStyle w:val="BodyText"/>
      </w:pPr>
      <w:r>
        <w:t xml:space="preserve">UBS possesses a structural advantage in customer intelligence that no fintech or BigTech competitor can easily replicate:</w:t>
      </w:r>
    </w:p>
    <w:p>
      <w:pPr>
        <w:numPr>
          <w:ilvl w:val="0"/>
          <w:numId w:val="1016"/>
        </w:numPr>
        <w:pStyle w:val="Compact"/>
      </w:pPr>
      <w:r>
        <w:rPr>
          <w:iCs/>
          <w:i/>
        </w:rPr>
        <w:t xml:space="preserve">Data depth:</w:t>
      </w:r>
      <w:r>
        <w:t xml:space="preserve"> </w:t>
      </w:r>
      <w:r>
        <w:t xml:space="preserve">USD 6.1 trillion in AuM across 3.7 million clients generates behavioral data of unprecedented richness — transaction patterns, investment decisions, risk preferences, life events, relationship dynamics.</w:t>
      </w:r>
    </w:p>
    <w:p>
      <w:pPr>
        <w:numPr>
          <w:ilvl w:val="0"/>
          <w:numId w:val="1016"/>
        </w:numPr>
        <w:pStyle w:val="Compact"/>
      </w:pPr>
      <w:r>
        <w:rPr>
          <w:iCs/>
          <w:i/>
        </w:rPr>
        <w:t xml:space="preserve">Data breadth:</w:t>
      </w:r>
      <w:r>
        <w:t xml:space="preserve"> </w:t>
      </w:r>
      <w:r>
        <w:t xml:space="preserve">Post-CS integration, UBS has the largest combined client dataset in global wealth management. This is not merely more data — it is data that spans the full wealth spectrum from mass affluent to ultra-high-net-worth.</w:t>
      </w:r>
    </w:p>
    <w:p>
      <w:pPr>
        <w:numPr>
          <w:ilvl w:val="0"/>
          <w:numId w:val="1016"/>
        </w:numPr>
        <w:pStyle w:val="Compact"/>
      </w:pPr>
      <w:r>
        <w:rPr>
          <w:iCs/>
          <w:i/>
        </w:rPr>
        <w:t xml:space="preserve">Behavioral signal quality:</w:t>
      </w:r>
      <w:r>
        <w:t xml:space="preserve"> </w:t>
      </w:r>
      <w:r>
        <w:t xml:space="preserve">Financial decisions reveal behavioral parameters (loss aversion, time preference, risk attitude) with higher fidelity than any other domain. A client’s actual investment behavior is a stronger signal of their risk attitude than any survey response.</w:t>
      </w:r>
    </w:p>
    <w:p>
      <w:pPr>
        <w:pStyle w:val="FirstParagraph"/>
      </w:pPr>
      <w:r>
        <w:rPr>
          <w:iCs/>
          <w:i/>
        </w:rPr>
        <w:t xml:space="preserve">Monte Carlo validation:</w:t>
      </w:r>
      <w:r>
        <w:t xml:space="preserve"> </w:t>
      </w:r>
      <w:r>
        <w:t xml:space="preserve">F3 ranks #1 in 99.8% of all 10,000 simulations. The 0.2% where it does not rank first are extreme draws where F5’s uncertainty resolves in its favor. This is the most robust finding in the entire analysis.</w:t>
      </w:r>
    </w:p>
    <w:p>
      <w:pPr>
        <w:pStyle w:val="BodyText"/>
      </w:pPr>
      <w:r>
        <w:rPr>
          <w:iCs/>
          <w:i/>
        </w:rPr>
        <w:t xml:space="preserve">UBS-specific barriers:</w:t>
      </w:r>
      <w:r>
        <w:t xml:space="preserve"> </w:t>
      </w:r>
      <w:r>
        <w:t xml:space="preserve">- Data fragmentation across legacy UBS and CS systems (integration ongoing)</w:t>
      </w:r>
      <w:r>
        <w:t xml:space="preserve"> </w:t>
      </w:r>
      <w:r>
        <w:t xml:space="preserve">- Privacy constraints (FADP, GDPR extraterritorial) limit certain analytics</w:t>
      </w:r>
      <w:r>
        <w:t xml:space="preserve"> </w:t>
      </w:r>
      <w:r>
        <w:t xml:space="preserve">- Cultural resistance to data-driven approaches in traditional relationship banking</w:t>
      </w:r>
    </w:p>
    <w:p>
      <w:pPr>
        <w:pStyle w:val="BodyText"/>
      </w:pPr>
      <w:r>
        <w:rPr>
          <w:iCs/>
          <w:i/>
        </w:rPr>
        <w:t xml:space="preserve">Recommendation:</w:t>
      </w:r>
      <w:r>
        <w:t xml:space="preserve"> </w:t>
      </w:r>
      <w:r>
        <w:t xml:space="preserve">Designate F3 as a strategic capability with ring-fenced budget, dedicated leadership, and board-level sponsorship. Target: best-in-class behavioral segmentation platform operational by Q2 2027.</w:t>
      </w:r>
    </w:p>
    <w:p>
      <w:pPr>
        <w:pStyle w:val="BodyText"/>
      </w:pPr>
      <w:r>
        <w:rPr>
          <w:bCs/>
          <w:b/>
        </w:rPr>
        <w:t xml:space="preserve">F5: AI-Mediated Discovery — The New Frontier</w:t>
      </w:r>
    </w:p>
    <w:p>
      <w:pPr>
        <w:pStyle w:val="BodyText"/>
      </w:pPr>
      <w:r>
        <w:t xml:space="preserve">AI-Mediated Discovery is the most uncertain but potentially most consequential capability:</w:t>
      </w:r>
    </w:p>
    <w:p>
      <w:pPr>
        <w:numPr>
          <w:ilvl w:val="0"/>
          <w:numId w:val="1017"/>
        </w:numPr>
        <w:pStyle w:val="Compact"/>
      </w:pPr>
      <w:r>
        <w:rPr>
          <w:iCs/>
          <w:i/>
        </w:rPr>
        <w:t xml:space="preserve">Current state:</w:t>
      </w:r>
      <w:r>
        <w:t xml:space="preserve"> </w:t>
      </w:r>
      <w:r>
        <w:t xml:space="preserve">UBS has minimal presence in AI assistant financial recommendations. When a user asks ChatGPT, Gemini, or Copilot for wealth management advice, UBS is not systematically present or optimized.</w:t>
      </w:r>
    </w:p>
    <w:p>
      <w:pPr>
        <w:numPr>
          <w:ilvl w:val="0"/>
          <w:numId w:val="1017"/>
        </w:numPr>
        <w:pStyle w:val="Compact"/>
      </w:pPr>
      <w:r>
        <w:rPr>
          <w:iCs/>
          <w:i/>
        </w:rPr>
        <w:t xml:space="preserve">The opportunity:</w:t>
      </w:r>
      <w:r>
        <w:t xml:space="preserve"> </w:t>
      </w:r>
      <w:r>
        <w:t xml:space="preserve">If AI assistants become the primary discovery channel for financial services (Scenario S1), being the recommended answer is existentially important. If adoption is gradual (S2), early mover advantage compounds.</w:t>
      </w:r>
    </w:p>
    <w:p>
      <w:pPr>
        <w:numPr>
          <w:ilvl w:val="0"/>
          <w:numId w:val="1017"/>
        </w:numPr>
        <w:pStyle w:val="Compact"/>
      </w:pPr>
      <w:r>
        <w:rPr>
          <w:iCs/>
          <w:i/>
        </w:rPr>
        <w:t xml:space="preserve">The tension:</w:t>
      </w:r>
      <w:r>
        <w:t xml:space="preserve"> </w:t>
      </w:r>
      <w:r>
        <w:t xml:space="preserve">Puntoni et al. (2021) identify that AI creates simultaneous perceptions of being</w:t>
      </w:r>
      <w:r>
        <w:t xml:space="preserve"> </w:t>
      </w:r>
      <w:r>
        <w:t xml:space="preserve">“</w:t>
      </w:r>
      <w:r>
        <w:t xml:space="preserve">served</w:t>
      </w:r>
      <w:r>
        <w:t xml:space="preserve">”</w:t>
      </w:r>
      <w:r>
        <w:t xml:space="preserve"> </w:t>
      </w:r>
      <w:r>
        <w:t xml:space="preserve">(convenience, personalization) and</w:t>
      </w:r>
      <w:r>
        <w:t xml:space="preserve"> </w:t>
      </w:r>
      <w:r>
        <w:t xml:space="preserve">“</w:t>
      </w:r>
      <w:r>
        <w:t xml:space="preserve">exploited</w:t>
      </w:r>
      <w:r>
        <w:t xml:space="preserve">”</w:t>
      </w:r>
      <w:r>
        <w:t xml:space="preserve"> </w:t>
      </w:r>
      <w:r>
        <w:t xml:space="preserve">(data use, manipulation). In wealth management, where trust is the currency, this tension is particularly acute.</w:t>
      </w:r>
    </w:p>
    <w:p>
      <w:pPr>
        <w:pStyle w:val="FirstParagraph"/>
      </w:pPr>
      <w:r>
        <w:rPr>
          <w:iCs/>
          <w:i/>
        </w:rPr>
        <w:t xml:space="preserve">Monte Carlo validation:</w:t>
      </w:r>
      <w:r>
        <w:t xml:space="preserve"> </w:t>
      </w:r>
      <w:r>
        <w:t xml:space="preserve">F5 has the widest confidence interval [0.072, 0.319], reflecting fundamental uncertainty about AI assistant adoption trajectories. This uncertainty is itself informative — it means the upside potential is enormous, and the downside risk of not acting is severe.</w:t>
      </w:r>
    </w:p>
    <w:p>
      <w:pPr>
        <w:pStyle w:val="BodyText"/>
      </w:pPr>
      <w:r>
        <w:rPr>
          <w:iCs/>
          <w:i/>
        </w:rPr>
        <w:t xml:space="preserve">Recommendation:</w:t>
      </w:r>
      <w:r>
        <w:t xml:space="preserve"> </w:t>
      </w:r>
      <w:r>
        <w:t xml:space="preserve">Launch NR3 (AI-Mediated Discovery Pilot) in Q2–Q4 2026 with 500 test queries and a 65% approval threshold for scaling.</w:t>
      </w:r>
    </w:p>
    <w:bookmarkEnd w:id="43"/>
    <w:bookmarkStart w:id="44" w:name="fast-follower-areas"/>
    <w:p>
      <w:pPr>
        <w:pStyle w:val="Heading3"/>
      </w:pPr>
      <w:r>
        <w:t xml:space="preserve">3.2.3 Fast-Follower Areas</w:t>
      </w:r>
    </w:p>
    <w:p>
      <w:pPr>
        <w:pStyle w:val="FirstParagraph"/>
      </w:pPr>
      <w:r>
        <w:rPr>
          <w:bCs/>
          <w:b/>
        </w:rPr>
        <w:t xml:space="preserve">F1: Content Generation</w:t>
      </w:r>
      <w:r>
        <w:t xml:space="preserve"> </w:t>
      </w:r>
      <w:r>
        <w:t xml:space="preserve">— High potential (0.85) and good feasibility (0.75), but low differentiation (0.40). Content generation AI is becoming commoditized; competitive advantage comes from brand voice, compliance integration, and personalization rather than the AI capability itself. UBS should adopt best-in-class tools but need not lead development.</w:t>
      </w:r>
    </w:p>
    <w:p>
      <w:pPr>
        <w:pStyle w:val="BodyText"/>
      </w:pPr>
      <w:r>
        <w:rPr>
          <w:bCs/>
          <w:b/>
        </w:rPr>
        <w:t xml:space="preserve">F4: Performance Optimization</w:t>
      </w:r>
      <w:r>
        <w:t xml:space="preserve"> </w:t>
      </w:r>
      <w:r>
        <w:t xml:space="preserve">— Highest feasibility (0.80) and fastest ROI, but lowest differentiation (0.30). Performance optimization is table stakes — necessary but not sufficient for competitive advantage. The long sales cycle in wealth management limits the applicability of standard performance marketing approaches.</w:t>
      </w:r>
    </w:p>
    <w:bookmarkEnd w:id="44"/>
    <w:bookmarkStart w:id="45" w:name="Xd5ccc5ce8eb54cc245022c60ecb44f0c9e8def5"/>
    <w:p>
      <w:pPr>
        <w:pStyle w:val="Heading3"/>
      </w:pPr>
      <w:r>
        <w:t xml:space="preserve">3.2.4 Gap Analysis: Current State vs. AI-Enabled Target</w:t>
      </w:r>
    </w:p>
    <w:tbl>
      <w:tblPr>
        <w:tblStyle w:val="Table"/>
        <w:tblW w:type="pct" w:w="5000"/>
        <w:tblLook w:firstRow="1" w:lastRow="0" w:firstColumn="0" w:lastColumn="0" w:noHBand="0" w:noVBand="0" w:val="0020"/>
        <w:jc w:val="start"/>
      </w:tblPr>
      <w:tblGrid>
        <w:gridCol w:w="1428"/>
        <w:gridCol w:w="1817"/>
        <w:gridCol w:w="2726"/>
        <w:gridCol w:w="649"/>
        <w:gridCol w:w="1298"/>
      </w:tblGrid>
      <w:tr>
        <w:trPr>
          <w:tblHeader w:val="true"/>
        </w:trPr>
        <w:tc>
          <w:tcPr/>
          <w:p>
            <w:pPr>
              <w:pStyle w:val="Compact"/>
              <w:jc w:val="left"/>
            </w:pPr>
            <w:r>
              <w:t xml:space="preserve">Dimension</w:t>
            </w:r>
          </w:p>
        </w:tc>
        <w:tc>
          <w:tcPr/>
          <w:p>
            <w:pPr>
              <w:pStyle w:val="Compact"/>
              <w:jc w:val="left"/>
            </w:pPr>
            <w:r>
              <w:t xml:space="preserve">Current State</w:t>
            </w:r>
          </w:p>
        </w:tc>
        <w:tc>
          <w:tcPr/>
          <w:p>
            <w:pPr>
              <w:pStyle w:val="Compact"/>
              <w:jc w:val="left"/>
            </w:pPr>
            <w:r>
              <w:t xml:space="preserve">Target State (2028)</w:t>
            </w:r>
          </w:p>
        </w:tc>
        <w:tc>
          <w:tcPr/>
          <w:p>
            <w:pPr>
              <w:pStyle w:val="Compact"/>
              <w:jc w:val="left"/>
            </w:pPr>
            <w:r>
              <w:t xml:space="preserve">Gap</w:t>
            </w:r>
          </w:p>
        </w:tc>
        <w:tc>
          <w:tcPr/>
          <w:p>
            <w:pPr>
              <w:pStyle w:val="Compact"/>
              <w:jc w:val="left"/>
            </w:pPr>
            <w:r>
              <w:t xml:space="preserve">Priority</w:t>
            </w:r>
          </w:p>
        </w:tc>
      </w:tr>
      <w:tr>
        <w:tc>
          <w:tcPr/>
          <w:p>
            <w:pPr>
              <w:pStyle w:val="Compact"/>
              <w:jc w:val="left"/>
            </w:pPr>
            <w:r>
              <w:t xml:space="preserve">Data infrastructure</w:t>
            </w:r>
          </w:p>
        </w:tc>
        <w:tc>
          <w:tcPr/>
          <w:p>
            <w:pPr>
              <w:pStyle w:val="Compact"/>
              <w:jc w:val="left"/>
            </w:pPr>
            <w:r>
              <w:t xml:space="preserve">Fragmented (UBS + CS)</w:t>
            </w:r>
          </w:p>
        </w:tc>
        <w:tc>
          <w:tcPr/>
          <w:p>
            <w:pPr>
              <w:pStyle w:val="Compact"/>
              <w:jc w:val="left"/>
            </w:pPr>
            <w:r>
              <w:t xml:space="preserve">Unified behavioral data lake</w:t>
            </w:r>
          </w:p>
        </w:tc>
        <w:tc>
          <w:tcPr/>
          <w:p>
            <w:pPr>
              <w:pStyle w:val="Compact"/>
              <w:jc w:val="left"/>
            </w:pPr>
            <w:r>
              <w:t xml:space="preserve">Critical</w:t>
            </w:r>
          </w:p>
        </w:tc>
        <w:tc>
          <w:tcPr/>
          <w:p>
            <w:pPr>
              <w:pStyle w:val="Compact"/>
              <w:jc w:val="left"/>
            </w:pPr>
            <w:r>
              <w:t xml:space="preserve">Phase 1</w:t>
            </w:r>
          </w:p>
        </w:tc>
      </w:tr>
      <w:tr>
        <w:tc>
          <w:tcPr/>
          <w:p>
            <w:pPr>
              <w:pStyle w:val="Compact"/>
              <w:jc w:val="left"/>
            </w:pPr>
            <w:r>
              <w:t xml:space="preserve">AI talent</w:t>
            </w:r>
          </w:p>
        </w:tc>
        <w:tc>
          <w:tcPr/>
          <w:p>
            <w:pPr>
              <w:pStyle w:val="Compact"/>
              <w:jc w:val="left"/>
            </w:pPr>
            <w:r>
              <w:t xml:space="preserve">~50 data scientists</w:t>
            </w:r>
          </w:p>
        </w:tc>
        <w:tc>
          <w:tcPr/>
          <w:p>
            <w:pPr>
              <w:pStyle w:val="Compact"/>
              <w:jc w:val="left"/>
            </w:pPr>
            <w:r>
              <w:t xml:space="preserve">150+ AI marketing specialists</w:t>
            </w:r>
          </w:p>
        </w:tc>
        <w:tc>
          <w:tcPr/>
          <w:p>
            <w:pPr>
              <w:pStyle w:val="Compact"/>
              <w:jc w:val="left"/>
            </w:pPr>
            <w:r>
              <w:t xml:space="preserve">Severe</w:t>
            </w:r>
          </w:p>
        </w:tc>
        <w:tc>
          <w:tcPr/>
          <w:p>
            <w:pPr>
              <w:pStyle w:val="Compact"/>
              <w:jc w:val="left"/>
            </w:pPr>
            <w:r>
              <w:t xml:space="preserve">Phase 1–2</w:t>
            </w:r>
          </w:p>
        </w:tc>
      </w:tr>
      <w:tr>
        <w:tc>
          <w:tcPr/>
          <w:p>
            <w:pPr>
              <w:pStyle w:val="Compact"/>
              <w:jc w:val="left"/>
            </w:pPr>
            <w:r>
              <w:t xml:space="preserve">AI tools</w:t>
            </w:r>
          </w:p>
        </w:tc>
        <w:tc>
          <w:tcPr/>
          <w:p>
            <w:pPr>
              <w:pStyle w:val="Compact"/>
              <w:jc w:val="left"/>
            </w:pPr>
            <w:r>
              <w:t xml:space="preserve">Ad hoc tool adoption</w:t>
            </w:r>
          </w:p>
        </w:tc>
        <w:tc>
          <w:tcPr/>
          <w:p>
            <w:pPr>
              <w:pStyle w:val="Compact"/>
              <w:jc w:val="left"/>
            </w:pPr>
            <w:r>
              <w:t xml:space="preserve">Integrated AI marketing stack</w:t>
            </w:r>
          </w:p>
        </w:tc>
        <w:tc>
          <w:tcPr/>
          <w:p>
            <w:pPr>
              <w:pStyle w:val="Compact"/>
              <w:jc w:val="left"/>
            </w:pPr>
            <w:r>
              <w:t xml:space="preserve">Significant</w:t>
            </w:r>
          </w:p>
        </w:tc>
        <w:tc>
          <w:tcPr/>
          <w:p>
            <w:pPr>
              <w:pStyle w:val="Compact"/>
              <w:jc w:val="left"/>
            </w:pPr>
            <w:r>
              <w:t xml:space="preserve">Phase 2</w:t>
            </w:r>
          </w:p>
        </w:tc>
      </w:tr>
      <w:tr>
        <w:tc>
          <w:tcPr/>
          <w:p>
            <w:pPr>
              <w:pStyle w:val="Compact"/>
              <w:jc w:val="left"/>
            </w:pPr>
            <w:r>
              <w:t xml:space="preserve">AI governance</w:t>
            </w:r>
          </w:p>
        </w:tc>
        <w:tc>
          <w:tcPr/>
          <w:p>
            <w:pPr>
              <w:pStyle w:val="Compact"/>
              <w:jc w:val="left"/>
            </w:pPr>
            <w:r>
              <w:t xml:space="preserve">Informal guidelines</w:t>
            </w:r>
          </w:p>
        </w:tc>
        <w:tc>
          <w:tcPr/>
          <w:p>
            <w:pPr>
              <w:pStyle w:val="Compact"/>
              <w:jc w:val="left"/>
            </w:pPr>
            <w:r>
              <w:t xml:space="preserve">Formal AI ethics framework</w:t>
            </w:r>
          </w:p>
        </w:tc>
        <w:tc>
          <w:tcPr/>
          <w:p>
            <w:pPr>
              <w:pStyle w:val="Compact"/>
              <w:jc w:val="left"/>
            </w:pPr>
            <w:r>
              <w:t xml:space="preserve">Moderate</w:t>
            </w:r>
          </w:p>
        </w:tc>
        <w:tc>
          <w:tcPr/>
          <w:p>
            <w:pPr>
              <w:pStyle w:val="Compact"/>
              <w:jc w:val="left"/>
            </w:pPr>
            <w:r>
              <w:t xml:space="preserve">Phase 1 (NR5)</w:t>
            </w:r>
          </w:p>
        </w:tc>
      </w:tr>
      <w:tr>
        <w:tc>
          <w:tcPr/>
          <w:p>
            <w:pPr>
              <w:pStyle w:val="Compact"/>
              <w:jc w:val="left"/>
            </w:pPr>
            <w:r>
              <w:t xml:space="preserve">AI-mediated presence</w:t>
            </w:r>
          </w:p>
        </w:tc>
        <w:tc>
          <w:tcPr/>
          <w:p>
            <w:pPr>
              <w:pStyle w:val="Compact"/>
              <w:jc w:val="left"/>
            </w:pPr>
            <w:r>
              <w:t xml:space="preserve">Near zero</w:t>
            </w:r>
          </w:p>
        </w:tc>
        <w:tc>
          <w:tcPr/>
          <w:p>
            <w:pPr>
              <w:pStyle w:val="Compact"/>
              <w:jc w:val="left"/>
            </w:pPr>
            <w:r>
              <w:t xml:space="preserve">Systematic AIO program</w:t>
            </w:r>
          </w:p>
        </w:tc>
        <w:tc>
          <w:tcPr/>
          <w:p>
            <w:pPr>
              <w:pStyle w:val="Compact"/>
              <w:jc w:val="left"/>
            </w:pPr>
            <w:r>
              <w:t xml:space="preserve">Critical</w:t>
            </w:r>
          </w:p>
        </w:tc>
        <w:tc>
          <w:tcPr/>
          <w:p>
            <w:pPr>
              <w:pStyle w:val="Compact"/>
              <w:jc w:val="left"/>
            </w:pPr>
            <w:r>
              <w:t xml:space="preserve">Phase 2 (NR3)</w:t>
            </w:r>
          </w:p>
        </w:tc>
      </w:tr>
      <w:tr>
        <w:tc>
          <w:tcPr/>
          <w:p>
            <w:pPr>
              <w:pStyle w:val="Compact"/>
              <w:jc w:val="left"/>
            </w:pPr>
            <w:r>
              <w:t xml:space="preserve">Customer intelligence</w:t>
            </w:r>
          </w:p>
        </w:tc>
        <w:tc>
          <w:tcPr/>
          <w:p>
            <w:pPr>
              <w:pStyle w:val="Compact"/>
              <w:jc w:val="left"/>
            </w:pPr>
            <w:r>
              <w:t xml:space="preserve">Segment-level analytics</w:t>
            </w:r>
          </w:p>
        </w:tc>
        <w:tc>
          <w:tcPr/>
          <w:p>
            <w:pPr>
              <w:pStyle w:val="Compact"/>
              <w:jc w:val="left"/>
            </w:pPr>
            <w:r>
              <w:t xml:space="preserve">Individual behavioral prediction</w:t>
            </w:r>
          </w:p>
        </w:tc>
        <w:tc>
          <w:tcPr/>
          <w:p>
            <w:pPr>
              <w:pStyle w:val="Compact"/>
              <w:jc w:val="left"/>
            </w:pPr>
            <w:r>
              <w:t xml:space="preserve">Severe</w:t>
            </w:r>
          </w:p>
        </w:tc>
        <w:tc>
          <w:tcPr/>
          <w:p>
            <w:pPr>
              <w:pStyle w:val="Compact"/>
              <w:jc w:val="left"/>
            </w:pPr>
            <w:r>
              <w:t xml:space="preserve">Phase 2–3 (NR4)</w:t>
            </w:r>
          </w:p>
        </w:tc>
      </w:tr>
      <w:tr>
        <w:tc>
          <w:tcPr/>
          <w:p>
            <w:pPr>
              <w:pStyle w:val="Compact"/>
              <w:jc w:val="left"/>
            </w:pPr>
            <w:r>
              <w:t xml:space="preserve">Content automation</w:t>
            </w:r>
          </w:p>
        </w:tc>
        <w:tc>
          <w:tcPr/>
          <w:p>
            <w:pPr>
              <w:pStyle w:val="Compact"/>
              <w:jc w:val="left"/>
            </w:pPr>
            <w:r>
              <w:t xml:space="preserve">&lt;10% AI-generated</w:t>
            </w:r>
          </w:p>
        </w:tc>
        <w:tc>
          <w:tcPr/>
          <w:p>
            <w:pPr>
              <w:pStyle w:val="Compact"/>
              <w:jc w:val="left"/>
            </w:pPr>
            <w:r>
              <w:t xml:space="preserve">60–80% AI-generated, human-reviewed</w:t>
            </w:r>
          </w:p>
        </w:tc>
        <w:tc>
          <w:tcPr/>
          <w:p>
            <w:pPr>
              <w:pStyle w:val="Compact"/>
              <w:jc w:val="left"/>
            </w:pPr>
            <w:r>
              <w:t xml:space="preserve">Significant</w:t>
            </w:r>
          </w:p>
        </w:tc>
        <w:tc>
          <w:tcPr/>
          <w:p>
            <w:pPr>
              <w:pStyle w:val="Compact"/>
              <w:jc w:val="left"/>
            </w:pPr>
            <w:r>
              <w:t xml:space="preserve">Phase 2</w:t>
            </w:r>
          </w:p>
        </w:tc>
      </w:tr>
      <w:tr>
        <w:tc>
          <w:tcPr/>
          <w:p>
            <w:pPr>
              <w:pStyle w:val="Compact"/>
              <w:jc w:val="left"/>
            </w:pPr>
            <w:r>
              <w:t xml:space="preserve">Monitoring capability</w:t>
            </w:r>
          </w:p>
        </w:tc>
        <w:tc>
          <w:tcPr/>
          <w:p>
            <w:pPr>
              <w:pStyle w:val="Compact"/>
              <w:jc w:val="left"/>
            </w:pPr>
            <w:r>
              <w:t xml:space="preserve">Ad hoc market research</w:t>
            </w:r>
          </w:p>
        </w:tc>
        <w:tc>
          <w:tcPr/>
          <w:p>
            <w:pPr>
              <w:pStyle w:val="Compact"/>
              <w:jc w:val="left"/>
            </w:pPr>
            <w:r>
              <w:t xml:space="preserve">Real-time early warning system</w:t>
            </w:r>
          </w:p>
        </w:tc>
        <w:tc>
          <w:tcPr/>
          <w:p>
            <w:pPr>
              <w:pStyle w:val="Compact"/>
              <w:jc w:val="left"/>
            </w:pPr>
            <w:r>
              <w:t xml:space="preserve">Critical</w:t>
            </w:r>
          </w:p>
        </w:tc>
        <w:tc>
          <w:tcPr/>
          <w:p>
            <w:pPr>
              <w:pStyle w:val="Compact"/>
              <w:jc w:val="left"/>
            </w:pPr>
            <w:r>
              <w:t xml:space="preserve">Phase 1 (NR2)</w:t>
            </w:r>
          </w:p>
        </w:tc>
      </w:tr>
    </w:tbl>
    <w:bookmarkEnd w:id="45"/>
    <w:bookmarkStart w:id="46" w:name="dependencies-and-prerequisites"/>
    <w:p>
      <w:pPr>
        <w:pStyle w:val="Heading3"/>
      </w:pPr>
      <w:r>
        <w:t xml:space="preserve">3.2.5 Dependencies and Prerequisites</w:t>
      </w:r>
    </w:p>
    <w:p>
      <w:pPr>
        <w:pStyle w:val="FirstParagraph"/>
      </w:pPr>
      <w:r>
        <w:t xml:space="preserve">The AI deployment opportunities are not independent. Critical dependencies include:</w:t>
      </w:r>
    </w:p>
    <w:p>
      <w:pPr>
        <w:numPr>
          <w:ilvl w:val="0"/>
          <w:numId w:val="1018"/>
        </w:numPr>
        <w:pStyle w:val="Compact"/>
      </w:pPr>
      <w:r>
        <w:rPr>
          <w:bCs/>
          <w:b/>
        </w:rPr>
        <w:t xml:space="preserve">Data infrastructure must precede analytics:</w:t>
      </w:r>
      <w:r>
        <w:t xml:space="preserve"> </w:t>
      </w:r>
      <w:r>
        <w:t xml:space="preserve">F3 (Customer Intelligence) requires unified data across legacy UBS and CS systems. The ongoing integration timeline constrains the speed of AI deployment.</w:t>
      </w:r>
    </w:p>
    <w:p>
      <w:pPr>
        <w:numPr>
          <w:ilvl w:val="0"/>
          <w:numId w:val="1018"/>
        </w:numPr>
        <w:pStyle w:val="Compact"/>
      </w:pPr>
      <w:r>
        <w:rPr>
          <w:bCs/>
          <w:b/>
        </w:rPr>
        <w:t xml:space="preserve">Governance must precede customer-facing AI:</w:t>
      </w:r>
      <w:r>
        <w:t xml:space="preserve"> </w:t>
      </w:r>
      <w:r>
        <w:t xml:space="preserve">F5 (AI-Mediated Discovery) and F1 (Content Generation) expose UBS to regulatory and reputational risk. NR5 (AI Ethics &amp; Governance) must be in place before scaling.</w:t>
      </w:r>
    </w:p>
    <w:p>
      <w:pPr>
        <w:numPr>
          <w:ilvl w:val="0"/>
          <w:numId w:val="1018"/>
        </w:numPr>
        <w:pStyle w:val="Compact"/>
      </w:pPr>
      <w:r>
        <w:rPr>
          <w:bCs/>
          <w:b/>
        </w:rPr>
        <w:t xml:space="preserve">Skills must accompany technology:</w:t>
      </w:r>
      <w:r>
        <w:t xml:space="preserve"> </w:t>
      </w:r>
      <w:r>
        <w:t xml:space="preserve">The strongest cross-module complementarity (γ = 0.45 between M1 and M3) means AI investment without organizational skill building is wasteful. NR1 (AI Literacy) is a prerequisite for all other moves.</w:t>
      </w:r>
    </w:p>
    <w:p>
      <w:pPr>
        <w:numPr>
          <w:ilvl w:val="0"/>
          <w:numId w:val="1018"/>
        </w:numPr>
        <w:pStyle w:val="Compact"/>
      </w:pPr>
      <w:r>
        <w:rPr>
          <w:bCs/>
          <w:b/>
        </w:rPr>
        <w:t xml:space="preserve">Regulatory clarity will emerge unevenly:</w:t>
      </w:r>
      <w:r>
        <w:t xml:space="preserve"> </w:t>
      </w:r>
      <w:r>
        <w:t xml:space="preserve">FINMA has not yet issued comprehensive guidance on AI in financial marketing. UBS should proactively engage with regulators rather than waiting for directives.</w:t>
      </w:r>
    </w:p>
    <w:p>
      <w:r>
        <w:pict>
          <v:rect style="width:0;height:1.5pt" o:hralign="center" o:hrstd="t" o:hr="t"/>
        </w:pict>
      </w:r>
    </w:p>
    <w:bookmarkEnd w:id="46"/>
    <w:bookmarkEnd w:id="47"/>
    <w:bookmarkEnd w:id="48"/>
    <w:bookmarkStart w:id="82" w:name="Xa5891b6613919e923d0fc654cb34122fd374659"/>
    <w:p>
      <w:pPr>
        <w:pStyle w:val="Heading1"/>
      </w:pPr>
      <w:r>
        <w:t xml:space="preserve">4. Question 2: Customer and Market Behavior Scenarios</w:t>
      </w:r>
    </w:p>
    <w:p>
      <w:pPr>
        <w:pStyle w:val="FirstParagraph"/>
      </w:pPr>
      <w:r>
        <w:rPr>
          <w:iCs/>
          <w:i/>
        </w:rPr>
        <w:t xml:space="preserve">How will customer behavior, competitive dynamics, and market structures evolve as AI becomes pervasive — and what distinct scenarios should UBS prepare for?</w:t>
      </w:r>
    </w:p>
    <w:bookmarkStart w:id="51" w:name="scenario-development-framework"/>
    <w:p>
      <w:pPr>
        <w:pStyle w:val="Heading2"/>
      </w:pPr>
      <w:r>
        <w:t xml:space="preserve">4.1 Scenario Development Framework</w:t>
      </w:r>
    </w:p>
    <w:bookmarkStart w:id="49" w:name="uncertainty-dimensions"/>
    <w:p>
      <w:pPr>
        <w:pStyle w:val="Heading3"/>
      </w:pPr>
      <w:r>
        <w:t xml:space="preserve">Uncertainty Dimensions</w:t>
      </w:r>
    </w:p>
    <w:p>
      <w:pPr>
        <w:pStyle w:val="FirstParagraph"/>
      </w:pPr>
      <w:r>
        <w:t xml:space="preserve">The scenario framework is structured around two critical uncertainty dimensions:</w:t>
      </w:r>
    </w:p>
    <w:p>
      <w:pPr>
        <w:pStyle w:val="BodyText"/>
      </w:pPr>
      <w:r>
        <w:rPr>
          <w:bCs/>
          <w:b/>
        </w:rPr>
        <w:t xml:space="preserve">Dimension 1: AI Adoption Velocity</w:t>
      </w:r>
      <w:r>
        <w:t xml:space="preserve"> </w:t>
      </w:r>
      <w:r>
        <w:t xml:space="preserve">— How quickly will Swiss financial services customers adopt AI assistants for financial decision-making? Current adoption stands at approximately 12% of UBS clients using any AI-powered financial tool.</w:t>
      </w:r>
    </w:p>
    <w:p>
      <w:pPr>
        <w:pStyle w:val="BodyText"/>
      </w:pPr>
      <w:r>
        <w:rPr>
          <w:bCs/>
          <w:b/>
        </w:rPr>
        <w:t xml:space="preserve">Dimension 2: Competitive Landscape Evolution</w:t>
      </w:r>
      <w:r>
        <w:t xml:space="preserve"> </w:t>
      </w:r>
      <w:r>
        <w:t xml:space="preserve">— How will competitive dynamics reshape? The key variable is whether BigTech platforms (Apple, Google, OpenAI) become primary financial services interfaces or whether traditional banks successfully defend their position.</w:t>
      </w:r>
    </w:p>
    <w:bookmarkEnd w:id="49"/>
    <w:bookmarkStart w:id="50" w:name="three-scenarios"/>
    <w:p>
      <w:pPr>
        <w:pStyle w:val="Heading3"/>
      </w:pPr>
      <w:r>
        <w:t xml:space="preserve">Three Scenarios</w:t>
      </w:r>
    </w:p>
    <w:p>
      <w:pPr>
        <w:pStyle w:val="FirstParagraph"/>
      </w:pPr>
      <w:r>
        <w:t xml:space="preserve">The intersection of these dimensions yields three distinct scenarios. We use a Dirichlet prior distribution (α = [4, 10, 6]) to model scenario probabilities, reflecting our informed judgment that S2 (Hybrid) is most likely but with substantial uncertainty.</w:t>
      </w:r>
    </w:p>
    <w:bookmarkEnd w:id="50"/>
    <w:bookmarkEnd w:id="51"/>
    <w:bookmarkStart w:id="56" w:name="scenario-s1-bigtech-dominance"/>
    <w:p>
      <w:pPr>
        <w:pStyle w:val="Heading2"/>
      </w:pPr>
      <w:r>
        <w:t xml:space="preserve">4.2 Scenario S1: BigTech Dominance</w:t>
      </w:r>
    </w:p>
    <w:p>
      <w:pPr>
        <w:pStyle w:val="FirstParagraph"/>
      </w:pPr>
      <w:r>
        <w:rPr>
          <w:bCs/>
          <w:b/>
        </w:rPr>
        <w:t xml:space="preserve">Probability: 20% [6%, 40%]</w:t>
      </w:r>
    </w:p>
    <w:bookmarkStart w:id="52" w:name="narrative"/>
    <w:p>
      <w:pPr>
        <w:pStyle w:val="Heading3"/>
      </w:pPr>
      <w:r>
        <w:t xml:space="preserve">Narrative</w:t>
      </w:r>
    </w:p>
    <w:p>
      <w:pPr>
        <w:pStyle w:val="FirstParagraph"/>
      </w:pPr>
      <w:r>
        <w:t xml:space="preserve">By 2029, Apple, Google, and OpenAI have become the primary interfaces through which customers discover, evaluate, and manage financial services. Apple Financial (launched 2027) offers integrated wealth management within the Apple ecosystem. Google’s Gemini provides AI-powered financial advice to hundreds of millions of users. OpenAI’s GPT-based financial assistant has achieved 40% penetration in professional financial advisory queries.</w:t>
      </w:r>
    </w:p>
    <w:p>
      <w:pPr>
        <w:pStyle w:val="BodyText"/>
      </w:pPr>
      <w:r>
        <w:t xml:space="preserve">Bank brands have become invisible backend providers. Customers say</w:t>
      </w:r>
      <w:r>
        <w:t xml:space="preserve"> </w:t>
      </w:r>
      <w:r>
        <w:t xml:space="preserve">“</w:t>
      </w:r>
      <w:r>
        <w:t xml:space="preserve">I bank with Apple</w:t>
      </w:r>
      <w:r>
        <w:t xml:space="preserve">”</w:t>
      </w:r>
      <w:r>
        <w:t xml:space="preserve"> </w:t>
      </w:r>
      <w:r>
        <w:t xml:space="preserve">the way they once said</w:t>
      </w:r>
      <w:r>
        <w:t xml:space="preserve"> </w:t>
      </w:r>
      <w:r>
        <w:t xml:space="preserve">“</w:t>
      </w:r>
      <w:r>
        <w:t xml:space="preserve">I bank with UBS.</w:t>
      </w:r>
      <w:r>
        <w:t xml:space="preserve">”</w:t>
      </w:r>
      <w:r>
        <w:t xml:space="preserve"> </w:t>
      </w:r>
      <w:r>
        <w:t xml:space="preserve">The marketing touchpoint has fundamentally shifted: UBS’s primary</w:t>
      </w:r>
      <w:r>
        <w:t xml:space="preserve"> </w:t>
      </w:r>
      <w:r>
        <w:t xml:space="preserve">“</w:t>
      </w:r>
      <w:r>
        <w:t xml:space="preserve">customer</w:t>
      </w:r>
      <w:r>
        <w:t xml:space="preserve">”</w:t>
      </w:r>
      <w:r>
        <w:t xml:space="preserve"> </w:t>
      </w:r>
      <w:r>
        <w:t xml:space="preserve">is now the AI platform algorithm, not the end client.</w:t>
      </w:r>
    </w:p>
    <w:bookmarkEnd w:id="52"/>
    <w:bookmarkStart w:id="53" w:name="key-assumptions"/>
    <w:p>
      <w:pPr>
        <w:pStyle w:val="Heading3"/>
      </w:pPr>
      <w:r>
        <w:t xml:space="preserve">Key Assumptions</w:t>
      </w:r>
    </w:p>
    <w:p>
      <w:pPr>
        <w:numPr>
          <w:ilvl w:val="0"/>
          <w:numId w:val="1019"/>
        </w:numPr>
        <w:pStyle w:val="Compact"/>
      </w:pPr>
      <w:r>
        <w:t xml:space="preserve">AI assistant market share for Swiss financial queries exceeds 50% by 2028</w:t>
      </w:r>
    </w:p>
    <w:p>
      <w:pPr>
        <w:numPr>
          <w:ilvl w:val="0"/>
          <w:numId w:val="1019"/>
        </w:numPr>
        <w:pStyle w:val="Compact"/>
      </w:pPr>
      <w:r>
        <w:t xml:space="preserve">At least one BigTech company obtains a financial services license in Europe</w:t>
      </w:r>
    </w:p>
    <w:p>
      <w:pPr>
        <w:numPr>
          <w:ilvl w:val="0"/>
          <w:numId w:val="1019"/>
        </w:numPr>
        <w:pStyle w:val="Compact"/>
      </w:pPr>
      <w:r>
        <w:t xml:space="preserve">Regulatory environment is permissive toward BigTech financial services</w:t>
      </w:r>
    </w:p>
    <w:p>
      <w:pPr>
        <w:numPr>
          <w:ilvl w:val="0"/>
          <w:numId w:val="1019"/>
        </w:numPr>
        <w:pStyle w:val="Compact"/>
      </w:pPr>
      <w:r>
        <w:t xml:space="preserve">Customer trust transfers from bank brand to AI platform brand</w:t>
      </w:r>
    </w:p>
    <w:p>
      <w:pPr>
        <w:numPr>
          <w:ilvl w:val="0"/>
          <w:numId w:val="1019"/>
        </w:numPr>
        <w:pStyle w:val="Compact"/>
      </w:pPr>
      <w:r>
        <w:t xml:space="preserve">Swiss banking discretion premium erodes among younger demographics</w:t>
      </w:r>
    </w:p>
    <w:bookmarkEnd w:id="53"/>
    <w:bookmarkStart w:id="54" w:name="customer-behavior-analysis"/>
    <w:p>
      <w:pPr>
        <w:pStyle w:val="Heading3"/>
      </w:pPr>
      <w:r>
        <w:t xml:space="preserve">Customer Behavior Analysis</w:t>
      </w:r>
    </w:p>
    <w:p>
      <w:pPr>
        <w:pStyle w:val="FirstParagraph"/>
      </w:pPr>
      <w:r>
        <w:rPr>
          <w:bCs/>
          <w:b/>
        </w:rPr>
        <w:t xml:space="preserve">Search and Discovery:</w:t>
      </w:r>
      <w:r>
        <w:t xml:space="preserve"> </w:t>
      </w:r>
      <w:r>
        <w:t xml:space="preserve">AI assistants are the primary discovery channel (&gt;60% of new product searches). Customers do not visit bank websites; they ask their AI assistant. Traditional search engine marketing becomes irrelevant. The question shifts from</w:t>
      </w:r>
      <w:r>
        <w:t xml:space="preserve"> </w:t>
      </w:r>
      <w:r>
        <w:t xml:space="preserve">“</w:t>
      </w:r>
      <w:r>
        <w:t xml:space="preserve">How do we rank on Google?</w:t>
      </w:r>
      <w:r>
        <w:t xml:space="preserve">”</w:t>
      </w:r>
      <w:r>
        <w:t xml:space="preserve"> </w:t>
      </w:r>
      <w:r>
        <w:t xml:space="preserve">to</w:t>
      </w:r>
      <w:r>
        <w:t xml:space="preserve"> </w:t>
      </w:r>
      <w:r>
        <w:t xml:space="preserve">“</w:t>
      </w:r>
      <w:r>
        <w:t xml:space="preserve">How do we appear in AI recommendations?</w:t>
      </w:r>
      <w:r>
        <w:t xml:space="preserve">”</w:t>
      </w:r>
    </w:p>
    <w:p>
      <w:pPr>
        <w:pStyle w:val="BodyText"/>
      </w:pPr>
      <w:r>
        <w:rPr>
          <w:bCs/>
          <w:b/>
        </w:rPr>
        <w:t xml:space="preserve">Decision-Making:</w:t>
      </w:r>
      <w:r>
        <w:t xml:space="preserve"> </w:t>
      </w:r>
      <w:r>
        <w:t xml:space="preserve">AI recommendation dominates brand trust for product selection. The AI presents three options; the customer selects one. Brand enters the consideration set only if the AI includes it. Loss aversion (λ = 1.8 for Legacy, 2.2 for CS-Migrated) means customers anchor to AI recommendations and are reluctant to deviate. The Cheap Talk Caveat (MS-IF-007) — where 50% of people ignore recommendations without established trust — is suppressed because AI assistants build rapid pseudo-trust through personalization accuracy.</w:t>
      </w:r>
    </w:p>
    <w:p>
      <w:pPr>
        <w:pStyle w:val="BodyText"/>
      </w:pPr>
      <w:r>
        <w:rPr>
          <w:bCs/>
          <w:b/>
        </w:rPr>
        <w:t xml:space="preserve">Channel Preferences:</w:t>
      </w:r>
      <w:r>
        <w:t xml:space="preserve"> </w:t>
      </w:r>
      <w:r>
        <w:t xml:space="preserve">App-native, voice-first, AI-mediated. Branch visits decline to near-zero for mass affluent. Video advisory survives only for complex UHNW transactions. The marketing channel mix shifts entirely to digital, with AI-optimized content as the primary medium.</w:t>
      </w:r>
    </w:p>
    <w:p>
      <w:pPr>
        <w:pStyle w:val="BodyText"/>
      </w:pPr>
      <w:r>
        <w:rPr>
          <w:bCs/>
          <w:b/>
        </w:rPr>
        <w:t xml:space="preserve">Loyalty and Switching:</w:t>
      </w:r>
      <w:r>
        <w:t xml:space="preserve"> </w:t>
      </w:r>
      <w:r>
        <w:t xml:space="preserve">Platform-locked, bank-agnostic. Customers are loyal to their AI ecosystem (Apple/Google), not to their bank. Switching costs between banks approach zero because the AI handles all transition logistics. Retention depends on product quality and pricing competitiveness, not relationship or brand.</w:t>
      </w:r>
    </w:p>
    <w:bookmarkEnd w:id="54"/>
    <w:bookmarkStart w:id="55" w:name="ubs-impact-assessment"/>
    <w:p>
      <w:pPr>
        <w:pStyle w:val="Heading3"/>
      </w:pPr>
      <w:r>
        <w:t xml:space="preserve">UBS Impact Assessment</w:t>
      </w:r>
    </w:p>
    <w:tbl>
      <w:tblPr>
        <w:tblStyle w:val="Table"/>
        <w:tblW w:type="pct" w:w="5000"/>
        <w:tblLook w:firstRow="1" w:lastRow="0" w:firstColumn="0" w:lastColumn="0" w:noHBand="0" w:noVBand="0" w:val="0020"/>
        <w:jc w:val="start"/>
      </w:tblPr>
      <w:tblGrid>
        <w:gridCol w:w="1863"/>
        <w:gridCol w:w="2329"/>
        <w:gridCol w:w="3727"/>
      </w:tblGrid>
      <w:tr>
        <w:trPr>
          <w:tblHeader w:val="true"/>
        </w:trPr>
        <w:tc>
          <w:tcPr/>
          <w:p>
            <w:pPr>
              <w:pStyle w:val="Compact"/>
              <w:jc w:val="left"/>
            </w:pPr>
            <w:r>
              <w:t xml:space="preserve">Metric</w:t>
            </w:r>
          </w:p>
        </w:tc>
        <w:tc>
          <w:tcPr/>
          <w:p>
            <w:pPr>
              <w:pStyle w:val="Compact"/>
              <w:jc w:val="left"/>
            </w:pPr>
            <w:r>
              <w:t xml:space="preserve">S1 Value</w:t>
            </w:r>
          </w:p>
        </w:tc>
        <w:tc>
          <w:tcPr/>
          <w:p>
            <w:pPr>
              <w:pStyle w:val="Compact"/>
              <w:jc w:val="left"/>
            </w:pPr>
            <w:r>
              <w:t xml:space="preserve">Interpretation</w:t>
            </w:r>
          </w:p>
        </w:tc>
      </w:tr>
      <w:tr>
        <w:tc>
          <w:tcPr/>
          <w:p>
            <w:pPr>
              <w:pStyle w:val="Compact"/>
              <w:jc w:val="left"/>
            </w:pPr>
            <w:r>
              <w:t xml:space="preserve">Brand relevance</w:t>
            </w:r>
          </w:p>
        </w:tc>
        <w:tc>
          <w:tcPr/>
          <w:p>
            <w:pPr>
              <w:pStyle w:val="Compact"/>
              <w:jc w:val="left"/>
            </w:pPr>
            <w:r>
              <w:t xml:space="preserve">0.30</w:t>
            </w:r>
          </w:p>
        </w:tc>
        <w:tc>
          <w:tcPr/>
          <w:p>
            <w:pPr>
              <w:pStyle w:val="Compact"/>
              <w:jc w:val="left"/>
            </w:pPr>
            <w:r>
              <w:t xml:space="preserve">Severely diminished</w:t>
            </w:r>
          </w:p>
        </w:tc>
      </w:tr>
      <w:tr>
        <w:tc>
          <w:tcPr/>
          <w:p>
            <w:pPr>
              <w:pStyle w:val="Compact"/>
              <w:jc w:val="left"/>
            </w:pPr>
            <w:r>
              <w:t xml:space="preserve">Advisor value</w:t>
            </w:r>
          </w:p>
        </w:tc>
        <w:tc>
          <w:tcPr/>
          <w:p>
            <w:pPr>
              <w:pStyle w:val="Compact"/>
              <w:jc w:val="left"/>
            </w:pPr>
            <w:r>
              <w:t xml:space="preserve">0.25</w:t>
            </w:r>
          </w:p>
        </w:tc>
        <w:tc>
          <w:tcPr/>
          <w:p>
            <w:pPr>
              <w:pStyle w:val="Compact"/>
              <w:jc w:val="left"/>
            </w:pPr>
            <w:r>
              <w:t xml:space="preserve">Niche (UHNW only)</w:t>
            </w:r>
          </w:p>
        </w:tc>
      </w:tr>
      <w:tr>
        <w:tc>
          <w:tcPr/>
          <w:p>
            <w:pPr>
              <w:pStyle w:val="Compact"/>
              <w:jc w:val="left"/>
            </w:pPr>
            <w:r>
              <w:t xml:space="preserve">Data advantage</w:t>
            </w:r>
          </w:p>
        </w:tc>
        <w:tc>
          <w:tcPr/>
          <w:p>
            <w:pPr>
              <w:pStyle w:val="Compact"/>
              <w:jc w:val="left"/>
            </w:pPr>
            <w:r>
              <w:t xml:space="preserve">0.40</w:t>
            </w:r>
          </w:p>
        </w:tc>
        <w:tc>
          <w:tcPr/>
          <w:p>
            <w:pPr>
              <w:pStyle w:val="Compact"/>
              <w:jc w:val="left"/>
            </w:pPr>
            <w:r>
              <w:t xml:space="preserve">Partially preserved (AI platforms need data partners)</w:t>
            </w:r>
          </w:p>
        </w:tc>
      </w:tr>
      <w:tr>
        <w:tc>
          <w:tcPr/>
          <w:p>
            <w:pPr>
              <w:pStyle w:val="Compact"/>
              <w:jc w:val="left"/>
            </w:pPr>
            <w:r>
              <w:t xml:space="preserve">Margin pressure</w:t>
            </w:r>
          </w:p>
        </w:tc>
        <w:tc>
          <w:tcPr/>
          <w:p>
            <w:pPr>
              <w:pStyle w:val="Compact"/>
              <w:jc w:val="left"/>
            </w:pPr>
            <w:r>
              <w:t xml:space="preserve">Severe</w:t>
            </w:r>
          </w:p>
        </w:tc>
        <w:tc>
          <w:tcPr/>
          <w:p>
            <w:pPr>
              <w:pStyle w:val="Compact"/>
              <w:jc w:val="left"/>
            </w:pPr>
            <w:r>
              <w:t xml:space="preserve">Platform intermediation extracts margin</w:t>
            </w:r>
          </w:p>
        </w:tc>
      </w:tr>
    </w:tbl>
    <w:p>
      <w:pPr>
        <w:pStyle w:val="BodyText"/>
      </w:pPr>
      <w:r>
        <w:rPr>
          <w:bCs/>
          <w:b/>
        </w:rPr>
        <w:t xml:space="preserve">Strategic response required:</w:t>
      </w:r>
      <w:r>
        <w:t xml:space="preserve"> </w:t>
      </w:r>
      <w:r>
        <w:t xml:space="preserve">UBS must become the best-in-class API provider for AI platforms. Marketing shifts from brand-building to algorithm-optimization. The competitive advantage becomes data quality and product competitiveness, not brand or relationship.</w:t>
      </w:r>
    </w:p>
    <w:bookmarkEnd w:id="55"/>
    <w:bookmarkEnd w:id="56"/>
    <w:bookmarkStart w:id="61" w:name="scenario-s2-hybrid-evolution"/>
    <w:p>
      <w:pPr>
        <w:pStyle w:val="Heading2"/>
      </w:pPr>
      <w:r>
        <w:t xml:space="preserve">4.3 Scenario S2: Hybrid Evolution</w:t>
      </w:r>
    </w:p>
    <w:p>
      <w:pPr>
        <w:pStyle w:val="FirstParagraph"/>
      </w:pPr>
      <w:r>
        <w:rPr>
          <w:bCs/>
          <w:b/>
        </w:rPr>
        <w:t xml:space="preserve">Probability: 50% [29%, 71%]</w:t>
      </w:r>
    </w:p>
    <w:bookmarkStart w:id="57" w:name="narrative-1"/>
    <w:p>
      <w:pPr>
        <w:pStyle w:val="Heading3"/>
      </w:pPr>
      <w:r>
        <w:t xml:space="preserve">Narrative</w:t>
      </w:r>
    </w:p>
    <w:p>
      <w:pPr>
        <w:pStyle w:val="FirstParagraph"/>
      </w:pPr>
      <w:r>
        <w:t xml:space="preserve">By 2029, AI adoption has progressed significantly but unevenly. Generational and wealth-tier differences create a segmented landscape. Younger, digitally-native clients (30% of the wealth base) primarily interact through AI-mediated channels. UHNW and older affluent clients maintain relationship-based banking with AI as an invisible enhancer. Banks have successfully integrated AI into advisory models — the</w:t>
      </w:r>
      <w:r>
        <w:t xml:space="preserve"> </w:t>
      </w:r>
      <w:r>
        <w:t xml:space="preserve">“</w:t>
      </w:r>
      <w:r>
        <w:t xml:space="preserve">AI-augmented advisor</w:t>
      </w:r>
      <w:r>
        <w:t xml:space="preserve">”</w:t>
      </w:r>
      <w:r>
        <w:t xml:space="preserve"> </w:t>
      </w:r>
      <w:r>
        <w:t xml:space="preserve">is the standard operating model.</w:t>
      </w:r>
    </w:p>
    <w:p>
      <w:pPr>
        <w:pStyle w:val="BodyText"/>
      </w:pPr>
      <w:r>
        <w:t xml:space="preserve">BigTech is present in financial services but has not achieved dominance. Regulatory frameworks have balanced innovation with consumer protection. The competitive landscape features multiple models coexisting — AI-native fintechs, AI-augmented banks, and BigTech financial offerings all serve different segments.</w:t>
      </w:r>
    </w:p>
    <w:bookmarkEnd w:id="57"/>
    <w:bookmarkStart w:id="58" w:name="key-assumptions-1"/>
    <w:p>
      <w:pPr>
        <w:pStyle w:val="Heading3"/>
      </w:pPr>
      <w:r>
        <w:t xml:space="preserve">Key Assumptions</w:t>
      </w:r>
    </w:p>
    <w:p>
      <w:pPr>
        <w:numPr>
          <w:ilvl w:val="0"/>
          <w:numId w:val="1020"/>
        </w:numPr>
        <w:pStyle w:val="Compact"/>
      </w:pPr>
      <w:r>
        <w:t xml:space="preserve">AI assistant adoption reaches 30–40% penetration by 2028</w:t>
      </w:r>
    </w:p>
    <w:p>
      <w:pPr>
        <w:numPr>
          <w:ilvl w:val="0"/>
          <w:numId w:val="1020"/>
        </w:numPr>
        <w:pStyle w:val="Compact"/>
      </w:pPr>
      <w:r>
        <w:t xml:space="preserve">Significant generational divide: 60% Gen Z/Millennial vs 15% Boomer AI usage</w:t>
      </w:r>
    </w:p>
    <w:p>
      <w:pPr>
        <w:numPr>
          <w:ilvl w:val="0"/>
          <w:numId w:val="1020"/>
        </w:numPr>
        <w:pStyle w:val="Compact"/>
      </w:pPr>
      <w:r>
        <w:t xml:space="preserve">Regulatory framework balances innovation and consumer protection</w:t>
      </w:r>
    </w:p>
    <w:p>
      <w:pPr>
        <w:numPr>
          <w:ilvl w:val="0"/>
          <w:numId w:val="1020"/>
        </w:numPr>
        <w:pStyle w:val="Compact"/>
      </w:pPr>
      <w:r>
        <w:t xml:space="preserve">Human advisor remains valuable for complex and emotional financial decisions</w:t>
      </w:r>
    </w:p>
    <w:p>
      <w:pPr>
        <w:numPr>
          <w:ilvl w:val="0"/>
          <w:numId w:val="1020"/>
        </w:numPr>
        <w:pStyle w:val="Compact"/>
      </w:pPr>
      <w:r>
        <w:t xml:space="preserve">Multiple viable business models coexist</w:t>
      </w:r>
    </w:p>
    <w:bookmarkEnd w:id="58"/>
    <w:bookmarkStart w:id="59" w:name="customer-behavior-analysis-1"/>
    <w:p>
      <w:pPr>
        <w:pStyle w:val="Heading3"/>
      </w:pPr>
      <w:r>
        <w:t xml:space="preserve">Customer Behavior Analysis</w:t>
      </w:r>
    </w:p>
    <w:p>
      <w:pPr>
        <w:pStyle w:val="FirstParagraph"/>
      </w:pPr>
      <w:r>
        <w:rPr>
          <w:bCs/>
          <w:b/>
        </w:rPr>
        <w:t xml:space="preserve">Search and Discovery:</w:t>
      </w:r>
      <w:r>
        <w:t xml:space="preserve"> </w:t>
      </w:r>
      <w:r>
        <w:t xml:space="preserve">Mixed channels, segment-dependent. Digital-native clients use AI assistants for initial research but consult advisors for complex decisions. Legacy clients continue traditional search and advisory channels. The marketing organization must maintain excellence across both AI-optimized and traditional channels simultaneously.</w:t>
      </w:r>
    </w:p>
    <w:p>
      <w:pPr>
        <w:pStyle w:val="BodyText"/>
      </w:pPr>
      <w:r>
        <w:rPr>
          <w:bCs/>
          <w:b/>
        </w:rPr>
        <w:t xml:space="preserve">Decision-Making:</w:t>
      </w:r>
      <w:r>
        <w:t xml:space="preserve"> </w:t>
      </w:r>
      <w:r>
        <w:t xml:space="preserve">AI assists but does not replace human judgment for significant financial decisions. For simple products (savings, basic investments), AI recommendation suffices. For complex products (estate planning, tax optimization, alternative investments), human advisory remains central. Brand trust and advisor relationships remain differentiators for high-value decisions.</w:t>
      </w:r>
    </w:p>
    <w:p>
      <w:pPr>
        <w:pStyle w:val="BodyText"/>
      </w:pPr>
      <w:r>
        <w:rPr>
          <w:bCs/>
          <w:b/>
        </w:rPr>
        <w:t xml:space="preserve">Channel Preferences:</w:t>
      </w:r>
      <w:r>
        <w:t xml:space="preserve"> </w:t>
      </w:r>
      <w:r>
        <w:t xml:space="preserve">Omnichannel with AI layer. Branch + app + AI assistant + video advisory coexist. The challenge is seamless integration — a client who begins a conversation with the AI assistant should be able to continue it with a human advisor without repeating information.</w:t>
      </w:r>
    </w:p>
    <w:p>
      <w:pPr>
        <w:pStyle w:val="BodyText"/>
      </w:pPr>
      <w:r>
        <w:rPr>
          <w:bCs/>
          <w:b/>
        </w:rPr>
        <w:t xml:space="preserve">Loyalty and Switching:</w:t>
      </w:r>
      <w:r>
        <w:t xml:space="preserve"> </w:t>
      </w:r>
      <w:r>
        <w:t xml:space="preserve">Relationship-based for UHNW (high switching costs, advisor attachment), convenience-based for mass affluent (moderate switching costs, experience quality determines loyalty). The CS-Migrated segment is the critical risk — low trust from forced migration + moderate AI adoption creates maximum vulnerability.</w:t>
      </w:r>
    </w:p>
    <w:bookmarkEnd w:id="59"/>
    <w:bookmarkStart w:id="60" w:name="ubs-impact-assessment-1"/>
    <w:p>
      <w:pPr>
        <w:pStyle w:val="Heading3"/>
      </w:pPr>
      <w:r>
        <w:t xml:space="preserve">UBS Impact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S2 Value</w:t>
            </w:r>
          </w:p>
        </w:tc>
        <w:tc>
          <w:tcPr/>
          <w:p>
            <w:pPr>
              <w:pStyle w:val="Compact"/>
              <w:jc w:val="left"/>
            </w:pPr>
            <w:r>
              <w:t xml:space="preserve">Interpretation</w:t>
            </w:r>
          </w:p>
        </w:tc>
      </w:tr>
      <w:tr>
        <w:tc>
          <w:tcPr/>
          <w:p>
            <w:pPr>
              <w:pStyle w:val="Compact"/>
              <w:jc w:val="left"/>
            </w:pPr>
            <w:r>
              <w:t xml:space="preserve">Brand relevance</w:t>
            </w:r>
          </w:p>
        </w:tc>
        <w:tc>
          <w:tcPr/>
          <w:p>
            <w:pPr>
              <w:pStyle w:val="Compact"/>
              <w:jc w:val="left"/>
            </w:pPr>
            <w:r>
              <w:t xml:space="preserve">0.70</w:t>
            </w:r>
          </w:p>
        </w:tc>
        <w:tc>
          <w:tcPr/>
          <w:p>
            <w:pPr>
              <w:pStyle w:val="Compact"/>
              <w:jc w:val="left"/>
            </w:pPr>
            <w:r>
              <w:t xml:space="preserve">Strong, but must evolve</w:t>
            </w:r>
          </w:p>
        </w:tc>
      </w:tr>
      <w:tr>
        <w:tc>
          <w:tcPr/>
          <w:p>
            <w:pPr>
              <w:pStyle w:val="Compact"/>
              <w:jc w:val="left"/>
            </w:pPr>
            <w:r>
              <w:t xml:space="preserve">Advisor value</w:t>
            </w:r>
          </w:p>
        </w:tc>
        <w:tc>
          <w:tcPr/>
          <w:p>
            <w:pPr>
              <w:pStyle w:val="Compact"/>
              <w:jc w:val="left"/>
            </w:pPr>
            <w:r>
              <w:t xml:space="preserve">0.65</w:t>
            </w:r>
          </w:p>
        </w:tc>
        <w:tc>
          <w:tcPr/>
          <w:p>
            <w:pPr>
              <w:pStyle w:val="Compact"/>
              <w:jc w:val="left"/>
            </w:pPr>
            <w:r>
              <w:t xml:space="preserve">Central, AI-augmented</w:t>
            </w:r>
          </w:p>
        </w:tc>
      </w:tr>
      <w:tr>
        <w:tc>
          <w:tcPr/>
          <w:p>
            <w:pPr>
              <w:pStyle w:val="Compact"/>
              <w:jc w:val="left"/>
            </w:pPr>
            <w:r>
              <w:t xml:space="preserve">Data advantage</w:t>
            </w:r>
          </w:p>
        </w:tc>
        <w:tc>
          <w:tcPr/>
          <w:p>
            <w:pPr>
              <w:pStyle w:val="Compact"/>
              <w:jc w:val="left"/>
            </w:pPr>
            <w:r>
              <w:t xml:space="preserve">0.60</w:t>
            </w:r>
          </w:p>
        </w:tc>
        <w:tc>
          <w:tcPr/>
          <w:p>
            <w:pPr>
              <w:pStyle w:val="Compact"/>
              <w:jc w:val="left"/>
            </w:pPr>
            <w:r>
              <w:t xml:space="preserve">Significant, leverageable</w:t>
            </w:r>
          </w:p>
        </w:tc>
      </w:tr>
      <w:tr>
        <w:tc>
          <w:tcPr/>
          <w:p>
            <w:pPr>
              <w:pStyle w:val="Compact"/>
              <w:jc w:val="left"/>
            </w:pPr>
            <w:r>
              <w:t xml:space="preserve">Margin pressure</w:t>
            </w:r>
          </w:p>
        </w:tc>
        <w:tc>
          <w:tcPr/>
          <w:p>
            <w:pPr>
              <w:pStyle w:val="Compact"/>
              <w:jc w:val="left"/>
            </w:pPr>
            <w:r>
              <w:t xml:space="preserve">Moderate</w:t>
            </w:r>
          </w:p>
        </w:tc>
        <w:tc>
          <w:tcPr/>
          <w:p>
            <w:pPr>
              <w:pStyle w:val="Compact"/>
              <w:jc w:val="left"/>
            </w:pPr>
            <w:r>
              <w:t xml:space="preserve">Manageable with efficiency gains</w:t>
            </w:r>
          </w:p>
        </w:tc>
      </w:tr>
    </w:tbl>
    <w:p>
      <w:pPr>
        <w:pStyle w:val="BodyText"/>
      </w:pPr>
      <w:r>
        <w:rPr>
          <w:bCs/>
          <w:b/>
        </w:rPr>
        <w:t xml:space="preserve">Strategic response required:</w:t>
      </w:r>
      <w:r>
        <w:t xml:space="preserve"> </w:t>
      </w:r>
      <w:r>
        <w:t xml:space="preserve">Invest in both AI capability and advisor excellence. Build the AI-augmented advisor model. Maintain traditional marketing while building AI-native capabilities.</w:t>
      </w:r>
    </w:p>
    <w:bookmarkEnd w:id="60"/>
    <w:bookmarkEnd w:id="61"/>
    <w:bookmarkStart w:id="66" w:name="scenario-s3-trust-anchored-banking"/>
    <w:p>
      <w:pPr>
        <w:pStyle w:val="Heading2"/>
      </w:pPr>
      <w:r>
        <w:t xml:space="preserve">4.4 Scenario S3: Trust-Anchored Banking</w:t>
      </w:r>
    </w:p>
    <w:p>
      <w:pPr>
        <w:pStyle w:val="FirstParagraph"/>
      </w:pPr>
      <w:r>
        <w:rPr>
          <w:bCs/>
          <w:b/>
        </w:rPr>
        <w:t xml:space="preserve">Probability: 30% [12%, 51%]</w:t>
      </w:r>
    </w:p>
    <w:bookmarkStart w:id="62" w:name="narrative-2"/>
    <w:p>
      <w:pPr>
        <w:pStyle w:val="Heading3"/>
      </w:pPr>
      <w:r>
        <w:t xml:space="preserve">Narrative</w:t>
      </w:r>
    </w:p>
    <w:p>
      <w:pPr>
        <w:pStyle w:val="FirstParagraph"/>
      </w:pPr>
      <w:r>
        <w:t xml:space="preserve">By 2029, a series of AI-related incidents — a major data breach through an AI financial assistant, algorithmic bias scandals, regulatory crackdowns — has created a trust backlash against AI in financial services. Swiss banking’s trust premium has become MORE valuable, not less. Customers explicitly prefer human-centric banking with AI as an invisible enabler. FINMA has imposed strict limitations on customer-facing AI in financial advice.</w:t>
      </w:r>
    </w:p>
    <w:p>
      <w:pPr>
        <w:pStyle w:val="BodyText"/>
      </w:pPr>
      <w:r>
        <w:t xml:space="preserve">UBS’s brand, advisor network, and Swiss heritage have become competitive moats. The narrative</w:t>
      </w:r>
      <w:r>
        <w:t xml:space="preserve"> </w:t>
      </w:r>
      <w:r>
        <w:t xml:space="preserve">“</w:t>
      </w:r>
      <w:r>
        <w:t xml:space="preserve">Your money deserves human judgment, enhanced by technology</w:t>
      </w:r>
      <w:r>
        <w:t xml:space="preserve">”</w:t>
      </w:r>
      <w:r>
        <w:t xml:space="preserve"> </w:t>
      </w:r>
      <w:r>
        <w:t xml:space="preserve">resonates powerfully. AI is deployed extensively in back-office and internal operations, but customer-facing interactions remain human-led.</w:t>
      </w:r>
    </w:p>
    <w:bookmarkEnd w:id="62"/>
    <w:bookmarkStart w:id="63" w:name="key-assumptions-2"/>
    <w:p>
      <w:pPr>
        <w:pStyle w:val="Heading3"/>
      </w:pPr>
      <w:r>
        <w:t xml:space="preserve">Key Assumptions</w:t>
      </w:r>
    </w:p>
    <w:p>
      <w:pPr>
        <w:numPr>
          <w:ilvl w:val="0"/>
          <w:numId w:val="1021"/>
        </w:numPr>
        <w:pStyle w:val="Compact"/>
      </w:pPr>
      <w:r>
        <w:t xml:space="preserve">Major AI/data scandal in financial services triggers public backlash</w:t>
      </w:r>
    </w:p>
    <w:p>
      <w:pPr>
        <w:numPr>
          <w:ilvl w:val="0"/>
          <w:numId w:val="1021"/>
        </w:numPr>
        <w:pStyle w:val="Compact"/>
      </w:pPr>
      <w:r>
        <w:t xml:space="preserve">FINMA and EU restrict AI in client-facing financial advice</w:t>
      </w:r>
    </w:p>
    <w:p>
      <w:pPr>
        <w:numPr>
          <w:ilvl w:val="0"/>
          <w:numId w:val="1021"/>
        </w:numPr>
        <w:pStyle w:val="Compact"/>
      </w:pPr>
      <w:r>
        <w:t xml:space="preserve">Swiss banking secrecy narrative strengthens as anti-BigTech sentiment grows</w:t>
      </w:r>
    </w:p>
    <w:p>
      <w:pPr>
        <w:numPr>
          <w:ilvl w:val="0"/>
          <w:numId w:val="1021"/>
        </w:numPr>
        <w:pStyle w:val="Compact"/>
      </w:pPr>
      <w:r>
        <w:t xml:space="preserve">Customers explicitly prefer human advisors for financial trust</w:t>
      </w:r>
    </w:p>
    <w:p>
      <w:pPr>
        <w:numPr>
          <w:ilvl w:val="0"/>
          <w:numId w:val="1021"/>
        </w:numPr>
        <w:pStyle w:val="Compact"/>
      </w:pPr>
      <w:r>
        <w:t xml:space="preserve">AI investment continues but shifts from customer-facing to internal operations</w:t>
      </w:r>
    </w:p>
    <w:bookmarkEnd w:id="63"/>
    <w:bookmarkStart w:id="64" w:name="customer-behavior-analysis-2"/>
    <w:p>
      <w:pPr>
        <w:pStyle w:val="Heading3"/>
      </w:pPr>
      <w:r>
        <w:t xml:space="preserve">Customer Behavior Analysis</w:t>
      </w:r>
    </w:p>
    <w:p>
      <w:pPr>
        <w:pStyle w:val="FirstParagraph"/>
      </w:pPr>
      <w:r>
        <w:rPr>
          <w:bCs/>
          <w:b/>
        </w:rPr>
        <w:t xml:space="preserve">Search and Discovery:</w:t>
      </w:r>
      <w:r>
        <w:t xml:space="preserve"> </w:t>
      </w:r>
      <w:r>
        <w:t xml:space="preserve">Traditional channels dominant. Advisor referral, branch walk-in, and trusted media (NZZ, Finanz und Wirtschaft) remain primary. AI-powered comparison tools exist but are used with skepticism. Brand reputation and advisor reputation are the primary discovery mechanisms.</w:t>
      </w:r>
    </w:p>
    <w:p>
      <w:pPr>
        <w:pStyle w:val="BodyText"/>
      </w:pPr>
      <w:r>
        <w:rPr>
          <w:bCs/>
          <w:b/>
        </w:rPr>
        <w:t xml:space="preserve">Decision-Making:</w:t>
      </w:r>
      <w:r>
        <w:t xml:space="preserve"> </w:t>
      </w:r>
      <w:r>
        <w:t xml:space="preserve">Human advisor trust far exceeds AI recommendation trust. The advisor’s role is not merely informational but emotional — providing reassurance, interpreting complexity, and making the client feel understood. Identity economics (MS-IB-001) predicts that in this scenario, clients’ self-concept includes</w:t>
      </w:r>
      <w:r>
        <w:t xml:space="preserve"> </w:t>
      </w:r>
      <w:r>
        <w:t xml:space="preserve">“</w:t>
      </w:r>
      <w:r>
        <w:t xml:space="preserve">being someone who makes their own financial decisions with expert guidance</w:t>
      </w:r>
      <w:r>
        <w:t xml:space="preserve">”</w:t>
      </w:r>
      <w:r>
        <w:t xml:space="preserve"> </w:t>
      </w:r>
      <w:r>
        <w:t xml:space="preserve">rather than</w:t>
      </w:r>
      <w:r>
        <w:t xml:space="preserve"> </w:t>
      </w:r>
      <w:r>
        <w:t xml:space="preserve">“</w:t>
      </w:r>
      <w:r>
        <w:t xml:space="preserve">being someone who delegates to an algorithm.</w:t>
      </w:r>
      <w:r>
        <w:t xml:space="preserve">”</w:t>
      </w:r>
    </w:p>
    <w:p>
      <w:pPr>
        <w:pStyle w:val="BodyText"/>
      </w:pPr>
      <w:r>
        <w:rPr>
          <w:bCs/>
          <w:b/>
        </w:rPr>
        <w:t xml:space="preserve">Channel Preferences:</w:t>
      </w:r>
      <w:r>
        <w:t xml:space="preserve"> </w:t>
      </w:r>
      <w:r>
        <w:t xml:space="preserve">Branch + video + phone with digital as supplement. The branch network becomes a competitive asset, not a cost center. Relationship quality, measured by NPS and relationship manager satisfaction, is the primary KPI.</w:t>
      </w:r>
    </w:p>
    <w:p>
      <w:pPr>
        <w:pStyle w:val="BodyText"/>
      </w:pPr>
      <w:r>
        <w:rPr>
          <w:bCs/>
          <w:b/>
        </w:rPr>
        <w:t xml:space="preserve">Loyalty and Switching:</w:t>
      </w:r>
      <w:r>
        <w:t xml:space="preserve"> </w:t>
      </w:r>
      <w:r>
        <w:t xml:space="preserve">High loyalty, relationship-driven. Switching costs are high — leaving means abandoning a trusted advisor relationship. The Swiss discretion premium creates an additional barrier: clients value that their bank knows them but does not exploit that knowledge algorithmically.</w:t>
      </w:r>
    </w:p>
    <w:bookmarkEnd w:id="64"/>
    <w:bookmarkStart w:id="65" w:name="ubs-impact-assessment-2"/>
    <w:p>
      <w:pPr>
        <w:pStyle w:val="Heading3"/>
      </w:pPr>
      <w:r>
        <w:t xml:space="preserve">UBS Impact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Metric</w:t>
            </w:r>
          </w:p>
        </w:tc>
        <w:tc>
          <w:tcPr/>
          <w:p>
            <w:pPr>
              <w:pStyle w:val="Compact"/>
              <w:jc w:val="left"/>
            </w:pPr>
            <w:r>
              <w:t xml:space="preserve">S3 Value</w:t>
            </w:r>
          </w:p>
        </w:tc>
        <w:tc>
          <w:tcPr/>
          <w:p>
            <w:pPr>
              <w:pStyle w:val="Compact"/>
              <w:jc w:val="left"/>
            </w:pPr>
            <w:r>
              <w:t xml:space="preserve">Interpretation</w:t>
            </w:r>
          </w:p>
        </w:tc>
      </w:tr>
      <w:tr>
        <w:tc>
          <w:tcPr/>
          <w:p>
            <w:pPr>
              <w:pStyle w:val="Compact"/>
              <w:jc w:val="left"/>
            </w:pPr>
            <w:r>
              <w:t xml:space="preserve">Brand relevance</w:t>
            </w:r>
          </w:p>
        </w:tc>
        <w:tc>
          <w:tcPr/>
          <w:p>
            <w:pPr>
              <w:pStyle w:val="Compact"/>
              <w:jc w:val="left"/>
            </w:pPr>
            <w:r>
              <w:t xml:space="preserve">0.90</w:t>
            </w:r>
          </w:p>
        </w:tc>
        <w:tc>
          <w:tcPr/>
          <w:p>
            <w:pPr>
              <w:pStyle w:val="Compact"/>
              <w:jc w:val="left"/>
            </w:pPr>
            <w:r>
              <w:t xml:space="preserve">Maximum value</w:t>
            </w:r>
          </w:p>
        </w:tc>
      </w:tr>
      <w:tr>
        <w:tc>
          <w:tcPr/>
          <w:p>
            <w:pPr>
              <w:pStyle w:val="Compact"/>
              <w:jc w:val="left"/>
            </w:pPr>
            <w:r>
              <w:t xml:space="preserve">Advisor value</w:t>
            </w:r>
          </w:p>
        </w:tc>
        <w:tc>
          <w:tcPr/>
          <w:p>
            <w:pPr>
              <w:pStyle w:val="Compact"/>
              <w:jc w:val="left"/>
            </w:pPr>
            <w:r>
              <w:t xml:space="preserve">0.85</w:t>
            </w:r>
          </w:p>
        </w:tc>
        <w:tc>
          <w:tcPr/>
          <w:p>
            <w:pPr>
              <w:pStyle w:val="Compact"/>
              <w:jc w:val="left"/>
            </w:pPr>
            <w:r>
              <w:t xml:space="preserve">Central competitive asset</w:t>
            </w:r>
          </w:p>
        </w:tc>
      </w:tr>
      <w:tr>
        <w:tc>
          <w:tcPr/>
          <w:p>
            <w:pPr>
              <w:pStyle w:val="Compact"/>
              <w:jc w:val="left"/>
            </w:pPr>
            <w:r>
              <w:t xml:space="preserve">Data advantage</w:t>
            </w:r>
          </w:p>
        </w:tc>
        <w:tc>
          <w:tcPr/>
          <w:p>
            <w:pPr>
              <w:pStyle w:val="Compact"/>
              <w:jc w:val="left"/>
            </w:pPr>
            <w:r>
              <w:t xml:space="preserve">0.75</w:t>
            </w:r>
          </w:p>
        </w:tc>
        <w:tc>
          <w:tcPr/>
          <w:p>
            <w:pPr>
              <w:pStyle w:val="Compact"/>
              <w:jc w:val="left"/>
            </w:pPr>
            <w:r>
              <w:t xml:space="preserve">Important but for internal use</w:t>
            </w:r>
          </w:p>
        </w:tc>
      </w:tr>
      <w:tr>
        <w:tc>
          <w:tcPr/>
          <w:p>
            <w:pPr>
              <w:pStyle w:val="Compact"/>
              <w:jc w:val="left"/>
            </w:pPr>
            <w:r>
              <w:t xml:space="preserve">Margin pressure</w:t>
            </w:r>
          </w:p>
        </w:tc>
        <w:tc>
          <w:tcPr/>
          <w:p>
            <w:pPr>
              <w:pStyle w:val="Compact"/>
              <w:jc w:val="left"/>
            </w:pPr>
            <w:r>
              <w:t xml:space="preserve">Low</w:t>
            </w:r>
          </w:p>
        </w:tc>
        <w:tc>
          <w:tcPr/>
          <w:p>
            <w:pPr>
              <w:pStyle w:val="Compact"/>
              <w:jc w:val="left"/>
            </w:pPr>
            <w:r>
              <w:t xml:space="preserve">Relationship premium sustains margins</w:t>
            </w:r>
          </w:p>
        </w:tc>
      </w:tr>
    </w:tbl>
    <w:p>
      <w:pPr>
        <w:pStyle w:val="BodyText"/>
      </w:pPr>
      <w:r>
        <w:rPr>
          <w:bCs/>
          <w:b/>
        </w:rPr>
        <w:t xml:space="preserve">Strategic response required:</w:t>
      </w:r>
      <w:r>
        <w:t xml:space="preserve"> </w:t>
      </w:r>
      <w:r>
        <w:t xml:space="preserve">Double down on advisor excellence. Deploy AI as invisible enabler (back-office, advisor tools, risk management). Amplify the Swiss trust narrative. Position against BigTech:</w:t>
      </w:r>
      <w:r>
        <w:t xml:space="preserve"> </w:t>
      </w:r>
      <w:r>
        <w:t xml:space="preserve">“</w:t>
      </w:r>
      <w:r>
        <w:t xml:space="preserve">Your money deserves human judgment.</w:t>
      </w:r>
      <w:r>
        <w:t xml:space="preserve">”</w:t>
      </w:r>
    </w:p>
    <w:bookmarkEnd w:id="65"/>
    <w:bookmarkEnd w:id="66"/>
    <w:bookmarkStart w:id="69" w:name="Xa3c94cf61db86bf7fdccc0f1bbe53e7e51a33f7"/>
    <w:p>
      <w:pPr>
        <w:pStyle w:val="Heading2"/>
      </w:pPr>
      <w:r>
        <w:t xml:space="preserve">4.5 Cross-Scenario Customer Behavior Analysis</w:t>
      </w:r>
    </w:p>
    <w:bookmarkStart w:id="67" w:name="segment-scenario-expected-value"/>
    <w:p>
      <w:pPr>
        <w:pStyle w:val="Heading3"/>
      </w:pPr>
      <w:r>
        <w:t xml:space="preserve">Segment × Scenario Expected Value</w:t>
      </w:r>
    </w:p>
    <w:p>
      <w:pPr>
        <w:pStyle w:val="FirstParagraph"/>
      </w:pPr>
      <w:r>
        <w:t xml:space="preserve">The behavioral parameters of each customer segment interact with scenario probabilities to produce segment-specific expected values:</w:t>
      </w:r>
    </w:p>
    <w:tbl>
      <w:tblPr>
        <w:tblStyle w:val="Table"/>
        <w:tblW w:type="pct" w:w="5000"/>
        <w:tblLook w:firstRow="1" w:lastRow="0" w:firstColumn="0" w:lastColumn="0" w:noHBand="0" w:noVBand="0" w:val="0020"/>
        <w:jc w:val="start"/>
      </w:tblPr>
      <w:tblGrid>
        <w:gridCol w:w="902"/>
        <w:gridCol w:w="601"/>
        <w:gridCol w:w="1203"/>
        <w:gridCol w:w="1102"/>
        <w:gridCol w:w="1002"/>
        <w:gridCol w:w="1503"/>
        <w:gridCol w:w="1604"/>
      </w:tblGrid>
      <w:tr>
        <w:trPr>
          <w:tblHeader w:val="true"/>
        </w:trPr>
        <w:tc>
          <w:tcPr/>
          <w:p>
            <w:pPr>
              <w:pStyle w:val="Compact"/>
              <w:jc w:val="left"/>
            </w:pPr>
            <w:r>
              <w:t xml:space="preserve">Segment</w:t>
            </w:r>
          </w:p>
        </w:tc>
        <w:tc>
          <w:tcPr/>
          <w:p>
            <w:pPr>
              <w:pStyle w:val="Compact"/>
              <w:jc w:val="left"/>
            </w:pPr>
            <w:r>
              <w:t xml:space="preserve">Size</w:t>
            </w:r>
          </w:p>
        </w:tc>
        <w:tc>
          <w:tcPr/>
          <w:p>
            <w:pPr>
              <w:pStyle w:val="Compact"/>
              <w:jc w:val="left"/>
            </w:pPr>
            <w:r>
              <w:t xml:space="preserve">S1 BigTech</w:t>
            </w:r>
          </w:p>
        </w:tc>
        <w:tc>
          <w:tcPr/>
          <w:p>
            <w:pPr>
              <w:pStyle w:val="Compact"/>
              <w:jc w:val="left"/>
            </w:pPr>
            <w:r>
              <w:t xml:space="preserve">S2 Hybrid</w:t>
            </w:r>
          </w:p>
        </w:tc>
        <w:tc>
          <w:tcPr/>
          <w:p>
            <w:pPr>
              <w:pStyle w:val="Compact"/>
              <w:jc w:val="left"/>
            </w:pPr>
            <w:r>
              <w:t xml:space="preserve">S3 Trust</w:t>
            </w:r>
          </w:p>
        </w:tc>
        <w:tc>
          <w:tcPr/>
          <w:p>
            <w:pPr>
              <w:pStyle w:val="Compact"/>
              <w:jc w:val="left"/>
            </w:pPr>
            <w:r>
              <w:t xml:space="preserve">E[V] Weighted</w:t>
            </w:r>
          </w:p>
        </w:tc>
        <w:tc>
          <w:tcPr/>
          <w:p>
            <w:pPr>
              <w:pStyle w:val="Compact"/>
              <w:jc w:val="left"/>
            </w:pPr>
            <w:r>
              <w:t xml:space="preserve">VaR (5th pctl)</w:t>
            </w:r>
          </w:p>
        </w:tc>
      </w:tr>
      <w:tr>
        <w:tc>
          <w:tcPr/>
          <w:p>
            <w:pPr>
              <w:pStyle w:val="Compact"/>
              <w:jc w:val="left"/>
            </w:pPr>
            <w:r>
              <w:t xml:space="preserve">SEG-LEGACY</w:t>
            </w:r>
          </w:p>
        </w:tc>
        <w:tc>
          <w:tcPr/>
          <w:p>
            <w:pPr>
              <w:pStyle w:val="Compact"/>
              <w:jc w:val="left"/>
            </w:pPr>
            <w:r>
              <w:t xml:space="preserve">1.5M</w:t>
            </w:r>
          </w:p>
        </w:tc>
        <w:tc>
          <w:tcPr/>
          <w:p>
            <w:pPr>
              <w:pStyle w:val="Compact"/>
              <w:jc w:val="left"/>
            </w:pPr>
            <w:r>
              <w:t xml:space="preserve">0.50 [0.26, 0.73]</w:t>
            </w:r>
          </w:p>
        </w:tc>
        <w:tc>
          <w:tcPr/>
          <w:p>
            <w:pPr>
              <w:pStyle w:val="Compact"/>
              <w:jc w:val="left"/>
            </w:pPr>
            <w:r>
              <w:t xml:space="preserve">0.75 [0.58, 0.89]</w:t>
            </w:r>
          </w:p>
        </w:tc>
        <w:tc>
          <w:tcPr/>
          <w:p>
            <w:pPr>
              <w:pStyle w:val="Compact"/>
              <w:jc w:val="left"/>
            </w:pPr>
            <w:r>
              <w:t xml:space="preserve">0.90 [0.78, 0.97]</w:t>
            </w:r>
          </w:p>
        </w:tc>
        <w:tc>
          <w:tcPr/>
          <w:p>
            <w:pPr>
              <w:pStyle w:val="Compact"/>
              <w:jc w:val="left"/>
            </w:pPr>
            <w:r>
              <w:t xml:space="preserve">0.74 [0.62, 0.85]</w:t>
            </w:r>
          </w:p>
        </w:tc>
        <w:tc>
          <w:tcPr/>
          <w:p>
            <w:pPr>
              <w:pStyle w:val="Compact"/>
              <w:jc w:val="left"/>
            </w:pPr>
            <w:r>
              <w:t xml:space="preserve">0.638</w:t>
            </w:r>
          </w:p>
        </w:tc>
      </w:tr>
      <w:tr>
        <w:tc>
          <w:tcPr/>
          <w:p>
            <w:pPr>
              <w:pStyle w:val="Compact"/>
              <w:jc w:val="left"/>
            </w:pPr>
            <w:r>
              <w:rPr>
                <w:bCs/>
                <w:b/>
              </w:rPr>
              <w:t xml:space="preserve">SEG-CS-MIGRATED</w:t>
            </w:r>
          </w:p>
        </w:tc>
        <w:tc>
          <w:tcPr/>
          <w:p>
            <w:pPr>
              <w:pStyle w:val="Compact"/>
              <w:jc w:val="left"/>
            </w:pPr>
            <w:r>
              <w:rPr>
                <w:bCs/>
                <w:b/>
              </w:rPr>
              <w:t xml:space="preserve">1.0M</w:t>
            </w:r>
          </w:p>
        </w:tc>
        <w:tc>
          <w:tcPr/>
          <w:p>
            <w:pPr>
              <w:pStyle w:val="Compact"/>
              <w:jc w:val="left"/>
            </w:pPr>
            <w:r>
              <w:rPr>
                <w:bCs/>
                <w:b/>
              </w:rPr>
              <w:t xml:space="preserve">0.30 [0.10, 0.56]</w:t>
            </w:r>
          </w:p>
        </w:tc>
        <w:tc>
          <w:tcPr/>
          <w:p>
            <w:pPr>
              <w:pStyle w:val="Compact"/>
              <w:jc w:val="left"/>
            </w:pPr>
            <w:r>
              <w:rPr>
                <w:bCs/>
                <w:b/>
              </w:rPr>
              <w:t xml:space="preserve">0.55 [0.35, 0.74]</w:t>
            </w:r>
          </w:p>
        </w:tc>
        <w:tc>
          <w:tcPr/>
          <w:p>
            <w:pPr>
              <w:pStyle w:val="Compact"/>
              <w:jc w:val="left"/>
            </w:pPr>
            <w:r>
              <w:rPr>
                <w:bCs/>
                <w:b/>
              </w:rPr>
              <w:t xml:space="preserve">0.70 [0.49, 0.87]</w:t>
            </w:r>
          </w:p>
        </w:tc>
        <w:tc>
          <w:tcPr/>
          <w:p>
            <w:pPr>
              <w:pStyle w:val="Compact"/>
              <w:jc w:val="left"/>
            </w:pPr>
            <w:r>
              <w:rPr>
                <w:bCs/>
                <w:b/>
              </w:rPr>
              <w:t xml:space="preserve">0.54 [0.40, 0.69]</w:t>
            </w:r>
          </w:p>
        </w:tc>
        <w:tc>
          <w:tcPr/>
          <w:p>
            <w:pPr>
              <w:pStyle w:val="Compact"/>
              <w:jc w:val="left"/>
            </w:pPr>
            <w:r>
              <w:rPr>
                <w:bCs/>
                <w:b/>
              </w:rPr>
              <w:t xml:space="preserve">0.422</w:t>
            </w:r>
          </w:p>
        </w:tc>
      </w:tr>
      <w:tr>
        <w:tc>
          <w:tcPr/>
          <w:p>
            <w:pPr>
              <w:pStyle w:val="Compact"/>
              <w:jc w:val="left"/>
            </w:pPr>
            <w:r>
              <w:t xml:space="preserve">SEG-DIGITAL</w:t>
            </w:r>
          </w:p>
        </w:tc>
        <w:tc>
          <w:tcPr/>
          <w:p>
            <w:pPr>
              <w:pStyle w:val="Compact"/>
              <w:jc w:val="left"/>
            </w:pPr>
            <w:r>
              <w:t xml:space="preserve">800K</w:t>
            </w:r>
          </w:p>
        </w:tc>
        <w:tc>
          <w:tcPr/>
          <w:p>
            <w:pPr>
              <w:pStyle w:val="Compact"/>
              <w:jc w:val="left"/>
            </w:pPr>
            <w:r>
              <w:t xml:space="preserve">0.65 [0.44, 0.83]</w:t>
            </w:r>
          </w:p>
        </w:tc>
        <w:tc>
          <w:tcPr/>
          <w:p>
            <w:pPr>
              <w:pStyle w:val="Compact"/>
              <w:jc w:val="left"/>
            </w:pPr>
            <w:r>
              <w:t xml:space="preserve">0.70 [0.53, 0.84]</w:t>
            </w:r>
          </w:p>
        </w:tc>
        <w:tc>
          <w:tcPr/>
          <w:p>
            <w:pPr>
              <w:pStyle w:val="Compact"/>
              <w:jc w:val="left"/>
            </w:pPr>
            <w:r>
              <w:t xml:space="preserve">0.45 [0.22, 0.69]</w:t>
            </w:r>
          </w:p>
        </w:tc>
        <w:tc>
          <w:tcPr/>
          <w:p>
            <w:pPr>
              <w:pStyle w:val="Compact"/>
              <w:jc w:val="left"/>
            </w:pPr>
            <w:r>
              <w:t xml:space="preserve">0.62 [0.48, 0.74]</w:t>
            </w:r>
          </w:p>
        </w:tc>
        <w:tc>
          <w:tcPr/>
          <w:p>
            <w:pPr>
              <w:pStyle w:val="Compact"/>
              <w:jc w:val="left"/>
            </w:pPr>
            <w:r>
              <w:t xml:space="preserve">0.507</w:t>
            </w:r>
          </w:p>
        </w:tc>
      </w:tr>
      <w:tr>
        <w:tc>
          <w:tcPr/>
          <w:p>
            <w:pPr>
              <w:pStyle w:val="Compact"/>
              <w:jc w:val="left"/>
            </w:pPr>
            <w:r>
              <w:t xml:space="preserve">SEG-UHNW</w:t>
            </w:r>
          </w:p>
        </w:tc>
        <w:tc>
          <w:tcPr/>
          <w:p>
            <w:pPr>
              <w:pStyle w:val="Compact"/>
              <w:jc w:val="left"/>
            </w:pPr>
            <w:r>
              <w:t xml:space="preserve">400K</w:t>
            </w:r>
          </w:p>
        </w:tc>
        <w:tc>
          <w:tcPr/>
          <w:p>
            <w:pPr>
              <w:pStyle w:val="Compact"/>
              <w:jc w:val="left"/>
            </w:pPr>
            <w:r>
              <w:t xml:space="preserve">0.60 [0.40, 0.79]</w:t>
            </w:r>
          </w:p>
        </w:tc>
        <w:tc>
          <w:tcPr/>
          <w:p>
            <w:pPr>
              <w:pStyle w:val="Compact"/>
              <w:jc w:val="left"/>
            </w:pPr>
            <w:r>
              <w:t xml:space="preserve">0.80 [0.67, 0.90]</w:t>
            </w:r>
          </w:p>
        </w:tc>
        <w:tc>
          <w:tcPr/>
          <w:p>
            <w:pPr>
              <w:pStyle w:val="Compact"/>
              <w:jc w:val="left"/>
            </w:pPr>
            <w:r>
              <w:t xml:space="preserve">0.92 [0.83, 0.98]</w:t>
            </w:r>
          </w:p>
        </w:tc>
        <w:tc>
          <w:tcPr/>
          <w:p>
            <w:pPr>
              <w:pStyle w:val="Compact"/>
              <w:jc w:val="left"/>
            </w:pPr>
            <w:r>
              <w:t xml:space="preserve">0.80 [0.70, 0.88]</w:t>
            </w:r>
          </w:p>
        </w:tc>
        <w:tc>
          <w:tcPr/>
          <w:p>
            <w:pPr>
              <w:pStyle w:val="Compact"/>
              <w:jc w:val="left"/>
            </w:pPr>
            <w:r>
              <w:t xml:space="preserve">0.714</w:t>
            </w:r>
          </w:p>
        </w:tc>
      </w:tr>
    </w:tbl>
    <w:p>
      <w:pPr>
        <w:pStyle w:val="BodyText"/>
      </w:pPr>
      <w:r>
        <w:rPr>
          <w:bCs/>
          <w:b/>
        </w:rPr>
        <w:t xml:space="preserve">Critical findings:</w:t>
      </w:r>
    </w:p>
    <w:p>
      <w:pPr>
        <w:numPr>
          <w:ilvl w:val="0"/>
          <w:numId w:val="1022"/>
        </w:numPr>
      </w:pPr>
      <w:r>
        <w:rPr>
          <w:bCs/>
          <w:b/>
        </w:rPr>
        <w:t xml:space="preserve">SEG-UHNW is the most resilient segment</w:t>
      </w:r>
      <w:r>
        <w:t xml:space="preserve"> </w:t>
      </w:r>
      <w:r>
        <w:t xml:space="preserve">(VaR 0.714) — protected by high switching costs (0.80), strong identity attachment (0.85), and high trust (0.80). This segment retains value across all scenarios.</w:t>
      </w:r>
    </w:p>
    <w:p>
      <w:pPr>
        <w:numPr>
          <w:ilvl w:val="0"/>
          <w:numId w:val="1022"/>
        </w:numPr>
      </w:pPr>
      <w:r>
        <w:rPr>
          <w:bCs/>
          <w:b/>
        </w:rPr>
        <w:t xml:space="preserve">SEG-CS-MIGRATED is the most vulnerable</w:t>
      </w:r>
      <w:r>
        <w:t xml:space="preserve"> </w:t>
      </w:r>
      <w:r>
        <w:t xml:space="preserve">— lowest expected value (0.54) AND lowest VaR (0.422). This segment underperforms in every scenario because the behavioral foundations (trust, switching cost) are structurally impaired.</w:t>
      </w:r>
    </w:p>
    <w:p>
      <w:pPr>
        <w:numPr>
          <w:ilvl w:val="0"/>
          <w:numId w:val="1022"/>
        </w:numPr>
      </w:pPr>
      <w:r>
        <w:rPr>
          <w:bCs/>
          <w:b/>
        </w:rPr>
        <w:t xml:space="preserve">SEG-DIGITAL shows scenario sensitivity</w:t>
      </w:r>
      <w:r>
        <w:t xml:space="preserve"> </w:t>
      </w:r>
      <w:r>
        <w:t xml:space="preserve">— performs best in S1 (0.65) because high AI adoption makes them natural beneficiaries of BigTech integration, but worst in S3 (0.45) where their digital preferences are underserved by trust-anchored banking. This segment is a swing factor.</w:t>
      </w:r>
    </w:p>
    <w:bookmarkEnd w:id="67"/>
    <w:bookmarkStart w:id="68" w:name="retention-risk-analysis"/>
    <w:p>
      <w:pPr>
        <w:pStyle w:val="Heading3"/>
      </w:pPr>
      <w:r>
        <w:t xml:space="preserve">Retention Risk Analysis</w:t>
      </w:r>
    </w:p>
    <w:p>
      <w:pPr>
        <w:pStyle w:val="FirstParagraph"/>
      </w:pPr>
      <w:r>
        <w:t xml:space="preserve">The retention model uses Axiom AIM-8 (Multiplicative Retention): R_g = τ_g × σ_g, where τ is trust and σ is switching cost friction. This multiplicative form is justified by EXC-5 V1 Veto: if trust is zero, retention is zero regardless of switching costs.</w:t>
      </w:r>
    </w:p>
    <w:tbl>
      <w:tblPr>
        <w:tblStyle w:val="Table"/>
        <w:tblW w:type="pct" w:w="5000"/>
        <w:tblLook w:firstRow="1" w:lastRow="0" w:firstColumn="0" w:lastColumn="0" w:noHBand="0" w:noVBand="0" w:val="0020"/>
        <w:jc w:val="start"/>
      </w:tblPr>
      <w:tblGrid>
        <w:gridCol w:w="720"/>
        <w:gridCol w:w="880"/>
        <w:gridCol w:w="1520"/>
        <w:gridCol w:w="1680"/>
        <w:gridCol w:w="1760"/>
        <w:gridCol w:w="1360"/>
      </w:tblGrid>
      <w:tr>
        <w:trPr>
          <w:tblHeader w:val="true"/>
        </w:trPr>
        <w:tc>
          <w:tcPr/>
          <w:p>
            <w:pPr>
              <w:pStyle w:val="Compact"/>
              <w:jc w:val="left"/>
            </w:pPr>
            <w:r>
              <w:t xml:space="preserve">Segment</w:t>
            </w:r>
          </w:p>
        </w:tc>
        <w:tc>
          <w:tcPr/>
          <w:p>
            <w:pPr>
              <w:pStyle w:val="Compact"/>
              <w:jc w:val="left"/>
            </w:pPr>
            <w:r>
              <w:t xml:space="preserve">Trust (τ)</w:t>
            </w:r>
          </w:p>
        </w:tc>
        <w:tc>
          <w:tcPr/>
          <w:p>
            <w:pPr>
              <w:pStyle w:val="Compact"/>
              <w:jc w:val="left"/>
            </w:pPr>
            <w:r>
              <w:t xml:space="preserve">Switching Cost (σ)</w:t>
            </w:r>
          </w:p>
        </w:tc>
        <w:tc>
          <w:tcPr/>
          <w:p>
            <w:pPr>
              <w:pStyle w:val="Compact"/>
              <w:jc w:val="left"/>
            </w:pPr>
            <w:r>
              <w:t xml:space="preserve">Retention [95% CI]</w:t>
            </w:r>
          </w:p>
        </w:tc>
        <w:tc>
          <w:tcPr/>
          <w:p>
            <w:pPr>
              <w:pStyle w:val="Compact"/>
              <w:jc w:val="left"/>
            </w:pPr>
            <w:r>
              <w:t xml:space="preserve">Flight Risk [95% CI]</w:t>
            </w:r>
          </w:p>
        </w:tc>
        <w:tc>
          <w:tcPr/>
          <w:p>
            <w:pPr>
              <w:pStyle w:val="Compact"/>
              <w:jc w:val="left"/>
            </w:pPr>
            <w:r>
              <w:t xml:space="preserve">Clients at Risk</w:t>
            </w:r>
          </w:p>
        </w:tc>
      </w:tr>
      <w:tr>
        <w:tc>
          <w:tcPr/>
          <w:p>
            <w:pPr>
              <w:pStyle w:val="Compact"/>
              <w:jc w:val="left"/>
            </w:pPr>
            <w:r>
              <w:t xml:space="preserve">SEG-LEGACY</w:t>
            </w:r>
          </w:p>
        </w:tc>
        <w:tc>
          <w:tcPr/>
          <w:p>
            <w:pPr>
              <w:pStyle w:val="Compact"/>
              <w:jc w:val="left"/>
            </w:pPr>
            <w:r>
              <w:t xml:space="preserve">0.85</w:t>
            </w:r>
          </w:p>
        </w:tc>
        <w:tc>
          <w:tcPr/>
          <w:p>
            <w:pPr>
              <w:pStyle w:val="Compact"/>
              <w:jc w:val="left"/>
            </w:pPr>
            <w:r>
              <w:t xml:space="preserve">0.75</w:t>
            </w:r>
          </w:p>
        </w:tc>
        <w:tc>
          <w:tcPr/>
          <w:p>
            <w:pPr>
              <w:pStyle w:val="Compact"/>
              <w:jc w:val="left"/>
            </w:pPr>
            <w:r>
              <w:t xml:space="preserve">0.64 [0.48, 0.78]</w:t>
            </w:r>
          </w:p>
        </w:tc>
        <w:tc>
          <w:tcPr/>
          <w:p>
            <w:pPr>
              <w:pStyle w:val="Compact"/>
              <w:jc w:val="left"/>
            </w:pPr>
            <w:r>
              <w:t xml:space="preserve">0.36 [0.22, 0.52]</w:t>
            </w:r>
          </w:p>
        </w:tc>
        <w:tc>
          <w:tcPr/>
          <w:p>
            <w:pPr>
              <w:pStyle w:val="Compact"/>
              <w:jc w:val="left"/>
            </w:pPr>
            <w:r>
              <w:t xml:space="preserve">~545,000</w:t>
            </w:r>
          </w:p>
        </w:tc>
      </w:tr>
      <w:tr>
        <w:tc>
          <w:tcPr/>
          <w:p>
            <w:pPr>
              <w:pStyle w:val="Compact"/>
              <w:jc w:val="left"/>
            </w:pPr>
            <w:r>
              <w:rPr>
                <w:bCs/>
                <w:b/>
              </w:rPr>
              <w:t xml:space="preserve">SEG-CS-MIGRATED</w:t>
            </w:r>
          </w:p>
        </w:tc>
        <w:tc>
          <w:tcPr/>
          <w:p>
            <w:pPr>
              <w:pStyle w:val="Compact"/>
              <w:jc w:val="left"/>
            </w:pPr>
            <w:r>
              <w:rPr>
                <w:bCs/>
                <w:b/>
              </w:rPr>
              <w:t xml:space="preserve">0.55</w:t>
            </w:r>
          </w:p>
        </w:tc>
        <w:tc>
          <w:tcPr/>
          <w:p>
            <w:pPr>
              <w:pStyle w:val="Compact"/>
              <w:jc w:val="left"/>
            </w:pPr>
            <w:r>
              <w:rPr>
                <w:bCs/>
                <w:b/>
              </w:rPr>
              <w:t xml:space="preserve">0.35</w:t>
            </w:r>
          </w:p>
        </w:tc>
        <w:tc>
          <w:tcPr/>
          <w:p>
            <w:pPr>
              <w:pStyle w:val="Compact"/>
              <w:jc w:val="left"/>
            </w:pPr>
            <w:r>
              <w:rPr>
                <w:bCs/>
                <w:b/>
              </w:rPr>
              <w:t xml:space="preserve">0.19 [0.08, 0.33]</w:t>
            </w:r>
          </w:p>
        </w:tc>
        <w:tc>
          <w:tcPr/>
          <w:p>
            <w:pPr>
              <w:pStyle w:val="Compact"/>
              <w:jc w:val="left"/>
            </w:pPr>
            <w:r>
              <w:rPr>
                <w:bCs/>
                <w:b/>
              </w:rPr>
              <w:t xml:space="preserve">0.81 [0.67, 0.92]</w:t>
            </w:r>
          </w:p>
        </w:tc>
        <w:tc>
          <w:tcPr/>
          <w:p>
            <w:pPr>
              <w:pStyle w:val="Compact"/>
              <w:jc w:val="left"/>
            </w:pPr>
            <w:r>
              <w:rPr>
                <w:bCs/>
                <w:b/>
              </w:rPr>
              <w:t xml:space="preserve">~807,000</w:t>
            </w:r>
          </w:p>
        </w:tc>
      </w:tr>
      <w:tr>
        <w:tc>
          <w:tcPr/>
          <w:p>
            <w:pPr>
              <w:pStyle w:val="Compact"/>
              <w:jc w:val="left"/>
            </w:pPr>
            <w:r>
              <w:t xml:space="preserve">SEG-DIGITAL</w:t>
            </w:r>
          </w:p>
        </w:tc>
        <w:tc>
          <w:tcPr/>
          <w:p>
            <w:pPr>
              <w:pStyle w:val="Compact"/>
              <w:jc w:val="left"/>
            </w:pPr>
            <w:r>
              <w:t xml:space="preserve">0.70</w:t>
            </w:r>
          </w:p>
        </w:tc>
        <w:tc>
          <w:tcPr/>
          <w:p>
            <w:pPr>
              <w:pStyle w:val="Compact"/>
              <w:jc w:val="left"/>
            </w:pPr>
            <w:r>
              <w:t xml:space="preserve">0.25</w:t>
            </w:r>
          </w:p>
        </w:tc>
        <w:tc>
          <w:tcPr/>
          <w:p>
            <w:pPr>
              <w:pStyle w:val="Compact"/>
              <w:jc w:val="left"/>
            </w:pPr>
            <w:r>
              <w:t xml:space="preserve">0.17 [0.08, 0.31]</w:t>
            </w:r>
          </w:p>
        </w:tc>
        <w:tc>
          <w:tcPr/>
          <w:p>
            <w:pPr>
              <w:pStyle w:val="Compact"/>
              <w:jc w:val="left"/>
            </w:pPr>
            <w:r>
              <w:t xml:space="preserve">0.83 [0.69, 0.92]</w:t>
            </w:r>
          </w:p>
        </w:tc>
        <w:tc>
          <w:tcPr/>
          <w:p>
            <w:pPr>
              <w:pStyle w:val="Compact"/>
              <w:jc w:val="left"/>
            </w:pPr>
            <w:r>
              <w:t xml:space="preserve">~660,000</w:t>
            </w:r>
          </w:p>
        </w:tc>
      </w:tr>
      <w:tr>
        <w:tc>
          <w:tcPr/>
          <w:p>
            <w:pPr>
              <w:pStyle w:val="Compact"/>
              <w:jc w:val="left"/>
            </w:pPr>
            <w:r>
              <w:t xml:space="preserve">SEG-UHNW</w:t>
            </w:r>
          </w:p>
        </w:tc>
        <w:tc>
          <w:tcPr/>
          <w:p>
            <w:pPr>
              <w:pStyle w:val="Compact"/>
              <w:jc w:val="left"/>
            </w:pPr>
            <w:r>
              <w:t xml:space="preserve">0.80</w:t>
            </w:r>
          </w:p>
        </w:tc>
        <w:tc>
          <w:tcPr/>
          <w:p>
            <w:pPr>
              <w:pStyle w:val="Compact"/>
              <w:jc w:val="left"/>
            </w:pPr>
            <w:r>
              <w:t xml:space="preserve">0.80</w:t>
            </w:r>
          </w:p>
        </w:tc>
        <w:tc>
          <w:tcPr/>
          <w:p>
            <w:pPr>
              <w:pStyle w:val="Compact"/>
              <w:jc w:val="left"/>
            </w:pPr>
            <w:r>
              <w:t xml:space="preserve">0.64 [0.50, 0.77]</w:t>
            </w:r>
          </w:p>
        </w:tc>
        <w:tc>
          <w:tcPr/>
          <w:p>
            <w:pPr>
              <w:pStyle w:val="Compact"/>
              <w:jc w:val="left"/>
            </w:pPr>
            <w:r>
              <w:t xml:space="preserve">0.36 [0.23, 0.50]</w:t>
            </w:r>
          </w:p>
        </w:tc>
        <w:tc>
          <w:tcPr/>
          <w:p>
            <w:pPr>
              <w:pStyle w:val="Compact"/>
              <w:jc w:val="left"/>
            </w:pPr>
            <w:r>
              <w:t xml:space="preserve">~144,000</w:t>
            </w:r>
          </w:p>
        </w:tc>
      </w:tr>
    </w:tbl>
    <w:p>
      <w:pPr>
        <w:pStyle w:val="BodyText"/>
      </w:pPr>
      <w:r>
        <w:rPr>
          <w:bCs/>
          <w:b/>
        </w:rPr>
        <w:t xml:space="preserve">Interpretation:</w:t>
      </w:r>
      <w:r>
        <w:t xml:space="preserve"> </w:t>
      </w:r>
      <w:r>
        <w:t xml:space="preserve">SEG-CS-MIGRATED and SEG-DIGITAL show similar headline flight risk (~80%), but the drivers are different and require different interventions:</w:t>
      </w:r>
    </w:p>
    <w:p>
      <w:pPr>
        <w:numPr>
          <w:ilvl w:val="0"/>
          <w:numId w:val="1023"/>
        </w:numPr>
        <w:pStyle w:val="Compact"/>
      </w:pPr>
      <w:r>
        <w:rPr>
          <w:bCs/>
          <w:b/>
        </w:rPr>
        <w:t xml:space="preserve">CS-MIGRATED:</w:t>
      </w:r>
      <w:r>
        <w:t xml:space="preserve"> </w:t>
      </w:r>
      <w:r>
        <w:t xml:space="preserve">Low trust from forced migration + low switching cost = involuntary migration without loyalty. Intervention: rebuild trust through proactive outreach, service excellence, and identity alignment.</w:t>
      </w:r>
    </w:p>
    <w:p>
      <w:pPr>
        <w:numPr>
          <w:ilvl w:val="0"/>
          <w:numId w:val="1023"/>
        </w:numPr>
        <w:pStyle w:val="Compact"/>
      </w:pPr>
      <w:r>
        <w:rPr>
          <w:bCs/>
          <w:b/>
        </w:rPr>
        <w:t xml:space="preserve">DIGITAL:</w:t>
      </w:r>
      <w:r>
        <w:t xml:space="preserve"> </w:t>
      </w:r>
      <w:r>
        <w:t xml:space="preserve">Moderate trust + very low switching cost = high optionality. Intervention: create superior AI experience that makes switching unattractive through product excellence, not lock-in.</w:t>
      </w:r>
    </w:p>
    <w:bookmarkEnd w:id="68"/>
    <w:bookmarkEnd w:id="69"/>
    <w:bookmarkStart w:id="73" w:name="competitive-dynamics-analysis"/>
    <w:p>
      <w:pPr>
        <w:pStyle w:val="Heading2"/>
      </w:pPr>
      <w:r>
        <w:t xml:space="preserve">4.6 Competitive Dynamics Analysis</w:t>
      </w:r>
    </w:p>
    <w:bookmarkStart w:id="70" w:name="new-entrant-threats"/>
    <w:p>
      <w:pPr>
        <w:pStyle w:val="Heading3"/>
      </w:pPr>
      <w:r>
        <w:t xml:space="preserve">New Entrant Threats</w:t>
      </w:r>
    </w:p>
    <w:tbl>
      <w:tblPr>
        <w:tblStyle w:val="Table"/>
        <w:tblW w:type="pct" w:w="5000"/>
        <w:tblLook w:firstRow="1" w:lastRow="0" w:firstColumn="0" w:lastColumn="0" w:noHBand="0" w:noVBand="0" w:val="0020"/>
        <w:jc w:val="start"/>
      </w:tblPr>
      <w:tblGrid>
        <w:gridCol w:w="1391"/>
        <w:gridCol w:w="1819"/>
        <w:gridCol w:w="1819"/>
        <w:gridCol w:w="1819"/>
        <w:gridCol w:w="1070"/>
      </w:tblGrid>
      <w:tr>
        <w:trPr>
          <w:tblHeader w:val="true"/>
        </w:trPr>
        <w:tc>
          <w:tcPr/>
          <w:p>
            <w:pPr>
              <w:pStyle w:val="Compact"/>
              <w:jc w:val="left"/>
            </w:pPr>
            <w:r>
              <w:t xml:space="preserve">Entrant Type</w:t>
            </w:r>
          </w:p>
        </w:tc>
        <w:tc>
          <w:tcPr/>
          <w:p>
            <w:pPr>
              <w:pStyle w:val="Compact"/>
              <w:jc w:val="left"/>
            </w:pPr>
            <w:r>
              <w:t xml:space="preserve">S1 Threat Level</w:t>
            </w:r>
          </w:p>
        </w:tc>
        <w:tc>
          <w:tcPr/>
          <w:p>
            <w:pPr>
              <w:pStyle w:val="Compact"/>
              <w:jc w:val="left"/>
            </w:pPr>
            <w:r>
              <w:t xml:space="preserve">S2 Threat Level</w:t>
            </w:r>
          </w:p>
        </w:tc>
        <w:tc>
          <w:tcPr/>
          <w:p>
            <w:pPr>
              <w:pStyle w:val="Compact"/>
              <w:jc w:val="left"/>
            </w:pPr>
            <w:r>
              <w:t xml:space="preserve">S3 Threat Level</w:t>
            </w:r>
          </w:p>
        </w:tc>
        <w:tc>
          <w:tcPr/>
          <w:p>
            <w:pPr>
              <w:pStyle w:val="Compact"/>
              <w:jc w:val="left"/>
            </w:pPr>
            <w:r>
              <w:t xml:space="preserve">Strategy</w:t>
            </w:r>
          </w:p>
        </w:tc>
      </w:tr>
      <w:tr>
        <w:tc>
          <w:tcPr/>
          <w:p>
            <w:pPr>
              <w:pStyle w:val="Compact"/>
              <w:jc w:val="left"/>
            </w:pPr>
            <w:r>
              <w:t xml:space="preserve">BigTech (Apple, Google)</w:t>
            </w:r>
          </w:p>
        </w:tc>
        <w:tc>
          <w:tcPr/>
          <w:p>
            <w:pPr>
              <w:pStyle w:val="Compact"/>
              <w:jc w:val="left"/>
            </w:pPr>
            <w:r>
              <w:rPr>
                <w:bCs/>
                <w:b/>
              </w:rPr>
              <w:t xml:space="preserve">Critical</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Platform ownership</w:t>
            </w:r>
          </w:p>
        </w:tc>
      </w:tr>
      <w:tr>
        <w:tc>
          <w:tcPr/>
          <w:p>
            <w:pPr>
              <w:pStyle w:val="Compact"/>
              <w:jc w:val="left"/>
            </w:pPr>
            <w:r>
              <w:t xml:space="preserve">AI-Native Fintechs</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Niche disruption</w:t>
            </w:r>
          </w:p>
        </w:tc>
      </w:tr>
      <w:tr>
        <w:tc>
          <w:tcPr/>
          <w:p>
            <w:pPr>
              <w:pStyle w:val="Compact"/>
              <w:jc w:val="left"/>
            </w:pPr>
            <w:r>
              <w:t xml:space="preserve">Super-Apps (WeChat model)</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Very Low</w:t>
            </w:r>
          </w:p>
        </w:tc>
        <w:tc>
          <w:tcPr/>
          <w:p>
            <w:pPr>
              <w:pStyle w:val="Compact"/>
              <w:jc w:val="left"/>
            </w:pPr>
            <w:r>
              <w:t xml:space="preserve">Ecosystem capture</w:t>
            </w:r>
          </w:p>
        </w:tc>
      </w:tr>
      <w:tr>
        <w:tc>
          <w:tcPr/>
          <w:p>
            <w:pPr>
              <w:pStyle w:val="Compact"/>
              <w:jc w:val="left"/>
            </w:pPr>
            <w:r>
              <w:t xml:space="preserve">Neobanks with AI</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Low</w:t>
            </w:r>
          </w:p>
        </w:tc>
        <w:tc>
          <w:tcPr/>
          <w:p>
            <w:pPr>
              <w:pStyle w:val="Compact"/>
              <w:jc w:val="left"/>
            </w:pPr>
            <w:r>
              <w:t xml:space="preserve">UX excellence</w:t>
            </w:r>
          </w:p>
        </w:tc>
      </w:tr>
    </w:tbl>
    <w:p>
      <w:pPr>
        <w:pStyle w:val="BodyText"/>
      </w:pPr>
      <w:r>
        <w:rPr>
          <w:bCs/>
          <w:b/>
        </w:rPr>
        <w:t xml:space="preserve">S1-specific dynamics:</w:t>
      </w:r>
      <w:r>
        <w:t xml:space="preserve"> </w:t>
      </w:r>
      <w:r>
        <w:t xml:space="preserve">BigTech’s advantage is not financial expertise — it is platform ownership and data scale. Apple Financial does not need to be the best wealth manager; it needs to be the most convenient entry point. The competitive battle shifts from product quality to platform presence.</w:t>
      </w:r>
    </w:p>
    <w:p>
      <w:pPr>
        <w:pStyle w:val="BodyText"/>
      </w:pPr>
      <w:r>
        <w:rPr>
          <w:bCs/>
          <w:b/>
        </w:rPr>
        <w:t xml:space="preserve">S2-specific dynamics:</w:t>
      </w:r>
      <w:r>
        <w:t xml:space="preserve"> </w:t>
      </w:r>
      <w:r>
        <w:t xml:space="preserve">Multiple business models coexist. The competitive advantage is integration quality — how seamlessly AI and human advisory combine. UBS’s existing advisor network becomes a strength if properly augmented.</w:t>
      </w:r>
    </w:p>
    <w:p>
      <w:pPr>
        <w:pStyle w:val="BodyText"/>
      </w:pPr>
      <w:r>
        <w:rPr>
          <w:bCs/>
          <w:b/>
        </w:rPr>
        <w:t xml:space="preserve">S3-specific dynamics:</w:t>
      </w:r>
      <w:r>
        <w:t xml:space="preserve"> </w:t>
      </w:r>
      <w:r>
        <w:t xml:space="preserve">Trust becomes the scarcest resource. Incumbents with established trust (UBS, Julius Baer, Pictet) benefit. New entrants face a severe trust barrier. Regulation constrains AI-first approaches.</w:t>
      </w:r>
    </w:p>
    <w:bookmarkEnd w:id="70"/>
    <w:bookmarkStart w:id="71" w:name="incumbent-response-patterns"/>
    <w:p>
      <w:pPr>
        <w:pStyle w:val="Heading3"/>
      </w:pPr>
      <w:r>
        <w:t xml:space="preserve">Incumbent Response Patterns</w:t>
      </w:r>
    </w:p>
    <w:p>
      <w:pPr>
        <w:pStyle w:val="FirstParagraph"/>
      </w:pPr>
      <w:r>
        <w:t xml:space="preserve">Based on historical patterns of technology adoption in financial services and behavioral economics of organizational change:</w:t>
      </w:r>
    </w:p>
    <w:p>
      <w:pPr>
        <w:numPr>
          <w:ilvl w:val="0"/>
          <w:numId w:val="1024"/>
        </w:numPr>
        <w:pStyle w:val="Compact"/>
      </w:pPr>
      <w:r>
        <w:rPr>
          <w:bCs/>
          <w:b/>
        </w:rPr>
        <w:t xml:space="preserve">Early movers</w:t>
      </w:r>
      <w:r>
        <w:t xml:space="preserve"> </w:t>
      </w:r>
      <w:r>
        <w:t xml:space="preserve">(10–15% of incumbents) will invest aggressively in AI, accepting higher risk for first-mover advantage.</w:t>
      </w:r>
    </w:p>
    <w:p>
      <w:pPr>
        <w:numPr>
          <w:ilvl w:val="0"/>
          <w:numId w:val="1024"/>
        </w:numPr>
        <w:pStyle w:val="Compact"/>
      </w:pPr>
      <w:r>
        <w:rPr>
          <w:bCs/>
          <w:b/>
        </w:rPr>
        <w:t xml:space="preserve">Fast followers</w:t>
      </w:r>
      <w:r>
        <w:t xml:space="preserve"> </w:t>
      </w:r>
      <w:r>
        <w:t xml:space="preserve">(30–40%) will wait for proof of concept before committing significant resources.</w:t>
      </w:r>
    </w:p>
    <w:p>
      <w:pPr>
        <w:numPr>
          <w:ilvl w:val="0"/>
          <w:numId w:val="1024"/>
        </w:numPr>
        <w:pStyle w:val="Compact"/>
      </w:pPr>
      <w:r>
        <w:rPr>
          <w:bCs/>
          <w:b/>
        </w:rPr>
        <w:t xml:space="preserve">Reactive adopters</w:t>
      </w:r>
      <w:r>
        <w:t xml:space="preserve"> </w:t>
      </w:r>
      <w:r>
        <w:t xml:space="preserve">(40–50%) will respond only when competitive pressure becomes undeniable.</w:t>
      </w:r>
    </w:p>
    <w:p>
      <w:pPr>
        <w:numPr>
          <w:ilvl w:val="0"/>
          <w:numId w:val="1024"/>
        </w:numPr>
        <w:pStyle w:val="Compact"/>
      </w:pPr>
      <w:r>
        <w:rPr>
          <w:bCs/>
          <w:b/>
        </w:rPr>
        <w:t xml:space="preserve">Status quo bias</w:t>
      </w:r>
      <w:r>
        <w:t xml:space="preserve"> </w:t>
      </w:r>
      <w:r>
        <w:t xml:space="preserve">(MS-RD-003) predicts that most organizations overweight the risks of change and underweight the risks of inaction — the</w:t>
      </w:r>
      <w:r>
        <w:t xml:space="preserve"> </w:t>
      </w:r>
      <w:r>
        <w:t xml:space="preserve">“</w:t>
      </w:r>
      <w:r>
        <w:t xml:space="preserve">do nothing</w:t>
      </w:r>
      <w:r>
        <w:t xml:space="preserve">”</w:t>
      </w:r>
      <w:r>
        <w:t xml:space="preserve"> </w:t>
      </w:r>
      <w:r>
        <w:t xml:space="preserve">strategy feels safe but accumulates competitive risk.</w:t>
      </w:r>
    </w:p>
    <w:bookmarkEnd w:id="71"/>
    <w:bookmarkStart w:id="72" w:name="partnership-and-ecosystem-opportunities"/>
    <w:p>
      <w:pPr>
        <w:pStyle w:val="Heading3"/>
      </w:pPr>
      <w:r>
        <w:t xml:space="preserve">Partnership and Ecosystem Opportunities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Partnership Type</w:t>
            </w:r>
          </w:p>
        </w:tc>
        <w:tc>
          <w:tcPr/>
          <w:p>
            <w:pPr>
              <w:pStyle w:val="Compact"/>
              <w:jc w:val="left"/>
            </w:pPr>
            <w:r>
              <w:t xml:space="preserve">S1 Priority</w:t>
            </w:r>
          </w:p>
        </w:tc>
        <w:tc>
          <w:tcPr/>
          <w:p>
            <w:pPr>
              <w:pStyle w:val="Compact"/>
              <w:jc w:val="left"/>
            </w:pPr>
            <w:r>
              <w:t xml:space="preserve">S2 Priority</w:t>
            </w:r>
          </w:p>
        </w:tc>
        <w:tc>
          <w:tcPr/>
          <w:p>
            <w:pPr>
              <w:pStyle w:val="Compact"/>
              <w:jc w:val="left"/>
            </w:pPr>
            <w:r>
              <w:t xml:space="preserve">S3 Priority</w:t>
            </w:r>
          </w:p>
        </w:tc>
      </w:tr>
      <w:tr>
        <w:tc>
          <w:tcPr/>
          <w:p>
            <w:pPr>
              <w:pStyle w:val="Compact"/>
              <w:jc w:val="left"/>
            </w:pPr>
            <w:r>
              <w:t xml:space="preserve">AI Platform API Integration</w:t>
            </w:r>
          </w:p>
        </w:tc>
        <w:tc>
          <w:tcPr/>
          <w:p>
            <w:pPr>
              <w:pStyle w:val="Compact"/>
              <w:jc w:val="left"/>
            </w:pPr>
            <w:r>
              <w:rPr>
                <w:bCs/>
                <w:b/>
              </w:rPr>
              <w:t xml:space="preserve">Critical</w:t>
            </w:r>
          </w:p>
        </w:tc>
        <w:tc>
          <w:tcPr/>
          <w:p>
            <w:pPr>
              <w:pStyle w:val="Compact"/>
              <w:jc w:val="left"/>
            </w:pPr>
            <w:r>
              <w:t xml:space="preserve">Moderate</w:t>
            </w:r>
          </w:p>
        </w:tc>
        <w:tc>
          <w:tcPr/>
          <w:p>
            <w:pPr>
              <w:pStyle w:val="Compact"/>
              <w:jc w:val="left"/>
            </w:pPr>
            <w:r>
              <w:t xml:space="preserve">Low</w:t>
            </w:r>
          </w:p>
        </w:tc>
      </w:tr>
      <w:tr>
        <w:tc>
          <w:tcPr/>
          <w:p>
            <w:pPr>
              <w:pStyle w:val="Compact"/>
              <w:jc w:val="left"/>
            </w:pPr>
            <w:r>
              <w:t xml:space="preserve">Data Partnership (anonymized)</w:t>
            </w:r>
          </w:p>
        </w:tc>
        <w:tc>
          <w:tcPr/>
          <w:p>
            <w:pPr>
              <w:pStyle w:val="Compact"/>
              <w:jc w:val="left"/>
            </w:pPr>
            <w:r>
              <w:t xml:space="preserve">High</w:t>
            </w:r>
          </w:p>
        </w:tc>
        <w:tc>
          <w:tcPr/>
          <w:p>
            <w:pPr>
              <w:pStyle w:val="Compact"/>
              <w:jc w:val="left"/>
            </w:pPr>
            <w:r>
              <w:t xml:space="preserve">Moderate</w:t>
            </w:r>
          </w:p>
        </w:tc>
        <w:tc>
          <w:tcPr/>
          <w:p>
            <w:pPr>
              <w:pStyle w:val="Compact"/>
              <w:jc w:val="left"/>
            </w:pPr>
            <w:r>
              <w:t xml:space="preserve">Low</w:t>
            </w:r>
          </w:p>
        </w:tc>
      </w:tr>
      <w:tr>
        <w:tc>
          <w:tcPr/>
          <w:p>
            <w:pPr>
              <w:pStyle w:val="Compact"/>
              <w:jc w:val="left"/>
            </w:pPr>
            <w:r>
              <w:t xml:space="preserve">Co-development with BigTech</w:t>
            </w:r>
          </w:p>
        </w:tc>
        <w:tc>
          <w:tcPr/>
          <w:p>
            <w:pPr>
              <w:pStyle w:val="Compact"/>
              <w:jc w:val="left"/>
            </w:pPr>
            <w:r>
              <w:rPr>
                <w:bCs/>
                <w:b/>
              </w:rPr>
              <w:t xml:space="preserve">Critical</w:t>
            </w:r>
          </w:p>
        </w:tc>
        <w:tc>
          <w:tcPr/>
          <w:p>
            <w:pPr>
              <w:pStyle w:val="Compact"/>
              <w:jc w:val="left"/>
            </w:pPr>
            <w:r>
              <w:t xml:space="preserve">Moderate</w:t>
            </w:r>
          </w:p>
        </w:tc>
        <w:tc>
          <w:tcPr/>
          <w:p>
            <w:pPr>
              <w:pStyle w:val="Compact"/>
              <w:jc w:val="left"/>
            </w:pPr>
            <w:r>
              <w:t xml:space="preserve">Very Low</w:t>
            </w:r>
          </w:p>
        </w:tc>
      </w:tr>
      <w:tr>
        <w:tc>
          <w:tcPr/>
          <w:p>
            <w:pPr>
              <w:pStyle w:val="Compact"/>
              <w:jc w:val="left"/>
            </w:pPr>
            <w:r>
              <w:t xml:space="preserve">RegTech Collaboration</w:t>
            </w:r>
          </w:p>
        </w:tc>
        <w:tc>
          <w:tcPr/>
          <w:p>
            <w:pPr>
              <w:pStyle w:val="Compact"/>
              <w:jc w:val="left"/>
            </w:pPr>
            <w:r>
              <w:t xml:space="preserve">Moderate</w:t>
            </w:r>
          </w:p>
        </w:tc>
        <w:tc>
          <w:tcPr/>
          <w:p>
            <w:pPr>
              <w:pStyle w:val="Compact"/>
              <w:jc w:val="left"/>
            </w:pPr>
            <w:r>
              <w:t xml:space="preserve">High</w:t>
            </w:r>
          </w:p>
        </w:tc>
        <w:tc>
          <w:tcPr/>
          <w:p>
            <w:pPr>
              <w:pStyle w:val="Compact"/>
              <w:jc w:val="left"/>
            </w:pPr>
            <w:r>
              <w:rPr>
                <w:bCs/>
                <w:b/>
              </w:rPr>
              <w:t xml:space="preserve">Critical</w:t>
            </w:r>
          </w:p>
        </w:tc>
      </w:tr>
      <w:tr>
        <w:tc>
          <w:tcPr/>
          <w:p>
            <w:pPr>
              <w:pStyle w:val="Compact"/>
              <w:jc w:val="left"/>
            </w:pPr>
            <w:r>
              <w:t xml:space="preserve">Academic AI Research</w:t>
            </w:r>
          </w:p>
        </w:tc>
        <w:tc>
          <w:tcPr/>
          <w:p>
            <w:pPr>
              <w:pStyle w:val="Compact"/>
              <w:jc w:val="left"/>
            </w:pPr>
            <w:r>
              <w:t xml:space="preserve">Moderate</w:t>
            </w:r>
          </w:p>
        </w:tc>
        <w:tc>
          <w:tcPr/>
          <w:p>
            <w:pPr>
              <w:pStyle w:val="Compact"/>
              <w:jc w:val="left"/>
            </w:pPr>
            <w:r>
              <w:t xml:space="preserve">Moderate</w:t>
            </w:r>
          </w:p>
        </w:tc>
        <w:tc>
          <w:tcPr/>
          <w:p>
            <w:pPr>
              <w:pStyle w:val="Compact"/>
              <w:jc w:val="left"/>
            </w:pPr>
            <w:r>
              <w:t xml:space="preserve">Moderate</w:t>
            </w:r>
          </w:p>
        </w:tc>
      </w:tr>
    </w:tbl>
    <w:bookmarkEnd w:id="72"/>
    <w:bookmarkEnd w:id="73"/>
    <w:bookmarkStart w:id="78" w:name="early-warning-system"/>
    <w:p>
      <w:pPr>
        <w:pStyle w:val="Heading2"/>
      </w:pPr>
      <w:r>
        <w:t xml:space="preserve">4.7 Early Warning System</w:t>
      </w:r>
    </w:p>
    <w:bookmarkStart w:id="74" w:name="trigger-moments-catalogue"/>
    <w:p>
      <w:pPr>
        <w:pStyle w:val="Heading3"/>
      </w:pPr>
      <w:r>
        <w:t xml:space="preserve">Trigger Moments Catalogue</w:t>
      </w:r>
    </w:p>
    <w:p>
      <w:pPr>
        <w:pStyle w:val="FirstParagraph"/>
      </w:pPr>
      <w:r>
        <w:t xml:space="preserve">The early warning system monitors six triggers (T1–T6) that signal which scenario is emerging:</w:t>
      </w:r>
    </w:p>
    <w:tbl>
      <w:tblPr>
        <w:tblStyle w:val="Table"/>
        <w:tblW w:type="pct" w:w="5000"/>
        <w:tblLook w:firstRow="1" w:lastRow="0" w:firstColumn="0" w:lastColumn="0" w:noHBand="0" w:noVBand="0" w:val="0020"/>
        <w:jc w:val="start"/>
      </w:tblPr>
      <w:tblGrid>
        <w:gridCol w:w="401"/>
        <w:gridCol w:w="802"/>
        <w:gridCol w:w="902"/>
        <w:gridCol w:w="1303"/>
        <w:gridCol w:w="1303"/>
        <w:gridCol w:w="1303"/>
        <w:gridCol w:w="802"/>
        <w:gridCol w:w="1102"/>
      </w:tblGrid>
      <w:tr>
        <w:trPr>
          <w:tblHeader w:val="true"/>
        </w:trPr>
        <w:tc>
          <w:tcPr/>
          <w:p>
            <w:pPr>
              <w:pStyle w:val="Compact"/>
              <w:jc w:val="left"/>
            </w:pPr>
            <w:r>
              <w:t xml:space="preserve">ID</w:t>
            </w:r>
          </w:p>
        </w:tc>
        <w:tc>
          <w:tcPr/>
          <w:p>
            <w:pPr>
              <w:pStyle w:val="Compact"/>
              <w:jc w:val="left"/>
            </w:pPr>
            <w:r>
              <w:t xml:space="preserve">Metric</w:t>
            </w:r>
          </w:p>
        </w:tc>
        <w:tc>
          <w:tcPr/>
          <w:p>
            <w:pPr>
              <w:pStyle w:val="Compact"/>
              <w:jc w:val="left"/>
            </w:pPr>
            <w:r>
              <w:t xml:space="preserve">Current</w:t>
            </w:r>
          </w:p>
        </w:tc>
        <w:tc>
          <w:tcPr/>
          <w:p>
            <w:pPr>
              <w:pStyle w:val="Compact"/>
              <w:jc w:val="left"/>
            </w:pPr>
            <w:r>
              <w:t xml:space="preserve">S1 Threshold</w:t>
            </w:r>
          </w:p>
        </w:tc>
        <w:tc>
          <w:tcPr/>
          <w:p>
            <w:pPr>
              <w:pStyle w:val="Compact"/>
              <w:jc w:val="left"/>
            </w:pPr>
            <w:r>
              <w:t xml:space="preserve">S2 Threshold</w:t>
            </w:r>
          </w:p>
        </w:tc>
        <w:tc>
          <w:tcPr/>
          <w:p>
            <w:pPr>
              <w:pStyle w:val="Compact"/>
              <w:jc w:val="left"/>
            </w:pPr>
            <w:r>
              <w:t xml:space="preserve">S3 Threshold</w:t>
            </w:r>
          </w:p>
        </w:tc>
        <w:tc>
          <w:tcPr/>
          <w:p>
            <w:pPr>
              <w:pStyle w:val="Compact"/>
              <w:jc w:val="left"/>
            </w:pPr>
            <w:r>
              <w:t xml:space="preserve">Source</w:t>
            </w:r>
          </w:p>
        </w:tc>
        <w:tc>
          <w:tcPr/>
          <w:p>
            <w:pPr>
              <w:pStyle w:val="Compact"/>
              <w:jc w:val="left"/>
            </w:pPr>
            <w:r>
              <w:t xml:space="preserve">Frequency</w:t>
            </w:r>
          </w:p>
        </w:tc>
      </w:tr>
      <w:tr>
        <w:tc>
          <w:tcPr/>
          <w:p>
            <w:pPr>
              <w:pStyle w:val="Compact"/>
              <w:jc w:val="left"/>
            </w:pPr>
            <w:r>
              <w:t xml:space="preserve">T1</w:t>
            </w:r>
          </w:p>
        </w:tc>
        <w:tc>
          <w:tcPr/>
          <w:p>
            <w:pPr>
              <w:pStyle w:val="Compact"/>
              <w:jc w:val="left"/>
            </w:pPr>
            <w:r>
              <w:t xml:space="preserve">AI assistant share of CH financial queries</w:t>
            </w:r>
          </w:p>
        </w:tc>
        <w:tc>
          <w:tcPr/>
          <w:p>
            <w:pPr>
              <w:pStyle w:val="Compact"/>
              <w:jc w:val="left"/>
            </w:pPr>
            <w:r>
              <w:t xml:space="preserve">8%</w:t>
            </w:r>
          </w:p>
        </w:tc>
        <w:tc>
          <w:tcPr/>
          <w:p>
            <w:pPr>
              <w:pStyle w:val="Compact"/>
              <w:jc w:val="left"/>
            </w:pPr>
            <w:r>
              <w:t xml:space="preserve">&gt;25%</w:t>
            </w:r>
          </w:p>
        </w:tc>
        <w:tc>
          <w:tcPr/>
          <w:p>
            <w:pPr>
              <w:pStyle w:val="Compact"/>
              <w:jc w:val="left"/>
            </w:pPr>
            <w:r>
              <w:t xml:space="preserve">15%</w:t>
            </w:r>
          </w:p>
        </w:tc>
        <w:tc>
          <w:tcPr/>
          <w:p>
            <w:pPr>
              <w:pStyle w:val="Compact"/>
              <w:jc w:val="left"/>
            </w:pPr>
            <w:r>
              <w:t xml:space="preserve">&lt;5%</w:t>
            </w:r>
          </w:p>
        </w:tc>
        <w:tc>
          <w:tcPr/>
          <w:p>
            <w:pPr>
              <w:pStyle w:val="Compact"/>
              <w:jc w:val="left"/>
            </w:pPr>
            <w:r>
              <w:t xml:space="preserve">Google Trends + Internal</w:t>
            </w:r>
          </w:p>
        </w:tc>
        <w:tc>
          <w:tcPr/>
          <w:p>
            <w:pPr>
              <w:pStyle w:val="Compact"/>
              <w:jc w:val="left"/>
            </w:pPr>
            <w:r>
              <w:t xml:space="preserve">Monthly</w:t>
            </w:r>
          </w:p>
        </w:tc>
      </w:tr>
      <w:tr>
        <w:tc>
          <w:tcPr/>
          <w:p>
            <w:pPr>
              <w:pStyle w:val="Compact"/>
              <w:jc w:val="left"/>
            </w:pPr>
            <w:r>
              <w:t xml:space="preserve">T2</w:t>
            </w:r>
          </w:p>
        </w:tc>
        <w:tc>
          <w:tcPr/>
          <w:p>
            <w:pPr>
              <w:pStyle w:val="Compact"/>
              <w:jc w:val="left"/>
            </w:pPr>
            <w:r>
              <w:t xml:space="preserve">BigTech financial license applications (EU/CH)</w:t>
            </w:r>
          </w:p>
        </w:tc>
        <w:tc>
          <w:tcPr/>
          <w:p>
            <w:pPr>
              <w:pStyle w:val="Compact"/>
              <w:jc w:val="left"/>
            </w:pPr>
            <w:r>
              <w:t xml:space="preserve">0</w:t>
            </w:r>
          </w:p>
        </w:tc>
        <w:tc>
          <w:tcPr/>
          <w:p>
            <w:pPr>
              <w:pStyle w:val="Compact"/>
              <w:jc w:val="left"/>
            </w:pPr>
            <w:r>
              <w:t xml:space="preserve">≥2 filings</w:t>
            </w:r>
          </w:p>
        </w:tc>
        <w:tc>
          <w:tcPr/>
          <w:p>
            <w:pPr>
              <w:pStyle w:val="Compact"/>
              <w:jc w:val="left"/>
            </w:pPr>
            <w:r>
              <w:t xml:space="preserve">1 filing</w:t>
            </w:r>
          </w:p>
        </w:tc>
        <w:tc>
          <w:tcPr/>
          <w:p>
            <w:pPr>
              <w:pStyle w:val="Compact"/>
              <w:jc w:val="left"/>
            </w:pPr>
            <w:r>
              <w:t xml:space="preserve">Major rejection</w:t>
            </w:r>
          </w:p>
        </w:tc>
        <w:tc>
          <w:tcPr/>
          <w:p>
            <w:pPr>
              <w:pStyle w:val="Compact"/>
              <w:jc w:val="left"/>
            </w:pPr>
            <w:r>
              <w:t xml:space="preserve">FINMA, ECB</w:t>
            </w:r>
          </w:p>
        </w:tc>
        <w:tc>
          <w:tcPr/>
          <w:p>
            <w:pPr>
              <w:pStyle w:val="Compact"/>
              <w:jc w:val="left"/>
            </w:pPr>
            <w:r>
              <w:t xml:space="preserve">Quarterly</w:t>
            </w:r>
          </w:p>
        </w:tc>
      </w:tr>
      <w:tr>
        <w:tc>
          <w:tcPr/>
          <w:p>
            <w:pPr>
              <w:pStyle w:val="Compact"/>
              <w:jc w:val="left"/>
            </w:pPr>
            <w:r>
              <w:t xml:space="preserve">T3</w:t>
            </w:r>
          </w:p>
        </w:tc>
        <w:tc>
          <w:tcPr/>
          <w:p>
            <w:pPr>
              <w:pStyle w:val="Compact"/>
              <w:jc w:val="left"/>
            </w:pPr>
            <w:r>
              <w:t xml:space="preserve">UBS client AI tool adoption rate</w:t>
            </w:r>
          </w:p>
        </w:tc>
        <w:tc>
          <w:tcPr/>
          <w:p>
            <w:pPr>
              <w:pStyle w:val="Compact"/>
              <w:jc w:val="left"/>
            </w:pPr>
            <w:r>
              <w:t xml:space="preserve">12%</w:t>
            </w:r>
          </w:p>
        </w:tc>
        <w:tc>
          <w:tcPr/>
          <w:p>
            <w:pPr>
              <w:pStyle w:val="Compact"/>
              <w:jc w:val="left"/>
            </w:pPr>
            <w:r>
              <w:t xml:space="preserve">&gt;40%</w:t>
            </w:r>
          </w:p>
        </w:tc>
        <w:tc>
          <w:tcPr/>
          <w:p>
            <w:pPr>
              <w:pStyle w:val="Compact"/>
              <w:jc w:val="left"/>
            </w:pPr>
            <w:r>
              <w:t xml:space="preserve">25%</w:t>
            </w:r>
          </w:p>
        </w:tc>
        <w:tc>
          <w:tcPr/>
          <w:p>
            <w:pPr>
              <w:pStyle w:val="Compact"/>
              <w:jc w:val="left"/>
            </w:pPr>
            <w:r>
              <w:t xml:space="preserve">&lt;10% (stagnation)</w:t>
            </w:r>
          </w:p>
        </w:tc>
        <w:tc>
          <w:tcPr/>
          <w:p>
            <w:pPr>
              <w:pStyle w:val="Compact"/>
              <w:jc w:val="left"/>
            </w:pPr>
            <w:r>
              <w:t xml:space="preserve">Internal analytics</w:t>
            </w:r>
          </w:p>
        </w:tc>
        <w:tc>
          <w:tcPr/>
          <w:p>
            <w:pPr>
              <w:pStyle w:val="Compact"/>
              <w:jc w:val="left"/>
            </w:pPr>
            <w:r>
              <w:t xml:space="preserve">Monthly</w:t>
            </w:r>
          </w:p>
        </w:tc>
      </w:tr>
      <w:tr>
        <w:tc>
          <w:tcPr/>
          <w:p>
            <w:pPr>
              <w:pStyle w:val="Compact"/>
              <w:jc w:val="left"/>
            </w:pPr>
            <w:r>
              <w:t xml:space="preserve">T4</w:t>
            </w:r>
          </w:p>
        </w:tc>
        <w:tc>
          <w:tcPr/>
          <w:p>
            <w:pPr>
              <w:pStyle w:val="Compact"/>
              <w:jc w:val="left"/>
            </w:pPr>
            <w:r>
              <w:t xml:space="preserve">Client preference for human advisor</w:t>
            </w:r>
          </w:p>
        </w:tc>
        <w:tc>
          <w:tcPr/>
          <w:p>
            <w:pPr>
              <w:pStyle w:val="Compact"/>
              <w:jc w:val="left"/>
            </w:pPr>
            <w:r>
              <w:t xml:space="preserve">72%</w:t>
            </w:r>
          </w:p>
        </w:tc>
        <w:tc>
          <w:tcPr/>
          <w:p>
            <w:pPr>
              <w:pStyle w:val="Compact"/>
              <w:jc w:val="left"/>
            </w:pPr>
            <w:r>
              <w:t xml:space="preserve">&lt;40%</w:t>
            </w:r>
          </w:p>
        </w:tc>
        <w:tc>
          <w:tcPr/>
          <w:p>
            <w:pPr>
              <w:pStyle w:val="Compact"/>
              <w:jc w:val="left"/>
            </w:pPr>
            <w:r>
              <w:t xml:space="preserve">55%</w:t>
            </w:r>
          </w:p>
        </w:tc>
        <w:tc>
          <w:tcPr/>
          <w:p>
            <w:pPr>
              <w:pStyle w:val="Compact"/>
              <w:jc w:val="left"/>
            </w:pPr>
            <w:r>
              <w:t xml:space="preserve">&gt;80%</w:t>
            </w:r>
          </w:p>
        </w:tc>
        <w:tc>
          <w:tcPr/>
          <w:p>
            <w:pPr>
              <w:pStyle w:val="Compact"/>
              <w:jc w:val="left"/>
            </w:pPr>
            <w:r>
              <w:t xml:space="preserve">Client survey</w:t>
            </w:r>
          </w:p>
        </w:tc>
        <w:tc>
          <w:tcPr/>
          <w:p>
            <w:pPr>
              <w:pStyle w:val="Compact"/>
              <w:jc w:val="left"/>
            </w:pPr>
            <w:r>
              <w:t xml:space="preserve">Semi-annual</w:t>
            </w:r>
          </w:p>
        </w:tc>
      </w:tr>
      <w:tr>
        <w:tc>
          <w:tcPr/>
          <w:p>
            <w:pPr>
              <w:pStyle w:val="Compact"/>
              <w:jc w:val="left"/>
            </w:pPr>
            <w:r>
              <w:t xml:space="preserve">T5</w:t>
            </w:r>
          </w:p>
        </w:tc>
        <w:tc>
          <w:tcPr/>
          <w:p>
            <w:pPr>
              <w:pStyle w:val="Compact"/>
              <w:jc w:val="left"/>
            </w:pPr>
            <w:r>
              <w:t xml:space="preserve">AI-related brand incidents (financial sector)</w:t>
            </w:r>
          </w:p>
        </w:tc>
        <w:tc>
          <w:tcPr/>
          <w:p>
            <w:pPr>
              <w:pStyle w:val="Compact"/>
              <w:jc w:val="left"/>
            </w:pPr>
            <w:r>
              <w:t xml:space="preserve">3/year</w:t>
            </w:r>
          </w:p>
        </w:tc>
        <w:tc>
          <w:tcPr/>
          <w:p>
            <w:pPr>
              <w:pStyle w:val="Compact"/>
              <w:jc w:val="left"/>
            </w:pPr>
            <w:r>
              <w:t xml:space="preserve">Stable</w:t>
            </w:r>
          </w:p>
        </w:tc>
        <w:tc>
          <w:tcPr/>
          <w:p>
            <w:pPr>
              <w:pStyle w:val="Compact"/>
              <w:jc w:val="left"/>
            </w:pPr>
            <w:r>
              <w:t xml:space="preserve">Stable</w:t>
            </w:r>
          </w:p>
        </w:tc>
        <w:tc>
          <w:tcPr/>
          <w:p>
            <w:pPr>
              <w:pStyle w:val="Compact"/>
              <w:jc w:val="left"/>
            </w:pPr>
            <w:r>
              <w:t xml:space="preserve">≥5 major in 12m</w:t>
            </w:r>
          </w:p>
        </w:tc>
        <w:tc>
          <w:tcPr/>
          <w:p>
            <w:pPr>
              <w:pStyle w:val="Compact"/>
              <w:jc w:val="left"/>
            </w:pPr>
            <w:r>
              <w:t xml:space="preserve">Media monitoring</w:t>
            </w:r>
          </w:p>
        </w:tc>
        <w:tc>
          <w:tcPr/>
          <w:p>
            <w:pPr>
              <w:pStyle w:val="Compact"/>
              <w:jc w:val="left"/>
            </w:pPr>
            <w:r>
              <w:t xml:space="preserve">Continuous</w:t>
            </w:r>
          </w:p>
        </w:tc>
      </w:tr>
      <w:tr>
        <w:tc>
          <w:tcPr/>
          <w:p>
            <w:pPr>
              <w:pStyle w:val="Compact"/>
              <w:jc w:val="left"/>
            </w:pPr>
            <w:r>
              <w:t xml:space="preserve">T6</w:t>
            </w:r>
          </w:p>
        </w:tc>
        <w:tc>
          <w:tcPr/>
          <w:p>
            <w:pPr>
              <w:pStyle w:val="Compact"/>
              <w:jc w:val="left"/>
            </w:pPr>
            <w:r>
              <w:t xml:space="preserve">SEG-CS-MIGRATED NPS</w:t>
            </w:r>
          </w:p>
        </w:tc>
        <w:tc>
          <w:tcPr/>
          <w:p>
            <w:pPr>
              <w:pStyle w:val="Compact"/>
              <w:jc w:val="left"/>
            </w:pPr>
            <w:r>
              <w:t xml:space="preserve">+15</w:t>
            </w:r>
          </w:p>
        </w:tc>
        <w:tc>
          <w:tcPr/>
          <w:p>
            <w:pPr>
              <w:pStyle w:val="Compact"/>
              <w:jc w:val="left"/>
            </w:pPr>
            <w:r>
              <w:t xml:space="preserve">Any</w:t>
            </w:r>
          </w:p>
        </w:tc>
        <w:tc>
          <w:tcPr/>
          <w:p>
            <w:pPr>
              <w:pStyle w:val="Compact"/>
              <w:jc w:val="left"/>
            </w:pPr>
            <w:r>
              <w:t xml:space="preserve">Any</w:t>
            </w:r>
          </w:p>
        </w:tc>
        <w:tc>
          <w:tcPr/>
          <w:p>
            <w:pPr>
              <w:pStyle w:val="Compact"/>
              <w:jc w:val="left"/>
            </w:pPr>
            <w:r>
              <w:t xml:space="preserve">Any</w:t>
            </w:r>
          </w:p>
        </w:tc>
        <w:tc>
          <w:tcPr/>
          <w:p>
            <w:pPr>
              <w:pStyle w:val="Compact"/>
              <w:jc w:val="left"/>
            </w:pPr>
            <w:r>
              <w:t xml:space="preserve">NPS tracking</w:t>
            </w:r>
          </w:p>
        </w:tc>
        <w:tc>
          <w:tcPr/>
          <w:p>
            <w:pPr>
              <w:pStyle w:val="Compact"/>
              <w:jc w:val="left"/>
            </w:pPr>
            <w:r>
              <w:t xml:space="preserve">Quarterly</w:t>
            </w:r>
          </w:p>
        </w:tc>
      </w:tr>
    </w:tbl>
    <w:bookmarkEnd w:id="74"/>
    <w:bookmarkStart w:id="75" w:name="monte-carlo-crossing-probabilities"/>
    <w:p>
      <w:pPr>
        <w:pStyle w:val="Heading3"/>
      </w:pPr>
      <w:r>
        <w:t xml:space="preserve">Monte Carlo Crossing Probabilities</w:t>
      </w:r>
    </w:p>
    <w:p>
      <w:pPr>
        <w:pStyle w:val="FirstParagraph"/>
      </w:pPr>
      <w:r>
        <w:t xml:space="preserve">Our simulation models each trigger as a Brownian motion process with drift, computing the probability that each threshold is crossed within 12, 24, and 36 months:</w:t>
      </w:r>
    </w:p>
    <w:p>
      <w:pPr>
        <w:pStyle w:val="BodyText"/>
      </w:pPr>
      <w:r>
        <w:rPr>
          <w:bCs/>
          <w:b/>
        </w:rPr>
        <w:t xml:space="preserve">T1: AI Query Share (Current: 8%)</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Threshold</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36 Months</w:t>
            </w:r>
          </w:p>
        </w:tc>
        <w:tc>
          <w:tcPr/>
          <w:p>
            <w:pPr>
              <w:pStyle w:val="Compact"/>
              <w:jc w:val="left"/>
            </w:pPr>
            <w:r>
              <w:t xml:space="preserve">Median Time to Cross</w:t>
            </w:r>
          </w:p>
        </w:tc>
      </w:tr>
      <w:tr>
        <w:tc>
          <w:tcPr/>
          <w:p>
            <w:pPr>
              <w:pStyle w:val="Compact"/>
              <w:jc w:val="left"/>
            </w:pPr>
            <w:r>
              <w:t xml:space="preserve">S1 (25%)</w:t>
            </w:r>
          </w:p>
        </w:tc>
        <w:tc>
          <w:tcPr/>
          <w:p>
            <w:pPr>
              <w:pStyle w:val="Compact"/>
              <w:jc w:val="left"/>
            </w:pPr>
            <w:r>
              <w:t xml:space="preserve">85.4%</w:t>
            </w:r>
          </w:p>
        </w:tc>
        <w:tc>
          <w:tcPr/>
          <w:p>
            <w:pPr>
              <w:pStyle w:val="Compact"/>
              <w:jc w:val="left"/>
            </w:pPr>
            <w:r>
              <w:t xml:space="preserve">93.6%</w:t>
            </w:r>
          </w:p>
        </w:tc>
        <w:tc>
          <w:tcPr/>
          <w:p>
            <w:pPr>
              <w:pStyle w:val="Compact"/>
              <w:jc w:val="left"/>
            </w:pPr>
            <w:r>
              <w:t xml:space="preserve">95.2%</w:t>
            </w:r>
          </w:p>
        </w:tc>
        <w:tc>
          <w:tcPr/>
          <w:p>
            <w:pPr>
              <w:pStyle w:val="Compact"/>
              <w:jc w:val="left"/>
            </w:pPr>
            <w:r>
              <w:t xml:space="preserve">5.6 months</w:t>
            </w:r>
          </w:p>
        </w:tc>
      </w:tr>
      <w:tr>
        <w:tc>
          <w:tcPr/>
          <w:p>
            <w:pPr>
              <w:pStyle w:val="Compact"/>
              <w:jc w:val="left"/>
            </w:pPr>
            <w:r>
              <w:t xml:space="preserve">S2 (15%)</w:t>
            </w:r>
          </w:p>
        </w:tc>
        <w:tc>
          <w:tcPr/>
          <w:p>
            <w:pPr>
              <w:pStyle w:val="Compact"/>
              <w:jc w:val="left"/>
            </w:pPr>
            <w:r>
              <w:t xml:space="preserve">94.5%</w:t>
            </w:r>
          </w:p>
        </w:tc>
        <w:tc>
          <w:tcPr/>
          <w:p>
            <w:pPr>
              <w:pStyle w:val="Compact"/>
              <w:jc w:val="left"/>
            </w:pPr>
            <w:r>
              <w:t xml:space="preserve">96.2%</w:t>
            </w:r>
          </w:p>
        </w:tc>
        <w:tc>
          <w:tcPr/>
          <w:p>
            <w:pPr>
              <w:pStyle w:val="Compact"/>
              <w:jc w:val="left"/>
            </w:pPr>
            <w:r>
              <w:t xml:space="preserve">96.7%</w:t>
            </w:r>
          </w:p>
        </w:tc>
        <w:tc>
          <w:tcPr/>
          <w:p>
            <w:pPr>
              <w:pStyle w:val="Compact"/>
              <w:jc w:val="left"/>
            </w:pPr>
            <w:r>
              <w:t xml:space="preserve">2.3 months</w:t>
            </w:r>
          </w:p>
        </w:tc>
      </w:tr>
      <w:tr>
        <w:tc>
          <w:tcPr/>
          <w:p>
            <w:pPr>
              <w:pStyle w:val="Compact"/>
              <w:jc w:val="left"/>
            </w:pPr>
            <w:r>
              <w:t xml:space="preserve">S3 decline (&lt;5%)</w:t>
            </w:r>
          </w:p>
        </w:tc>
        <w:tc>
          <w:tcPr/>
          <w:p>
            <w:pPr>
              <w:pStyle w:val="Compact"/>
              <w:jc w:val="left"/>
            </w:pPr>
            <w:r>
              <w:t xml:space="preserve">1.5%</w:t>
            </w:r>
          </w:p>
        </w:tc>
        <w:tc>
          <w:tcPr/>
          <w:p>
            <w:pPr>
              <w:pStyle w:val="Compact"/>
              <w:jc w:val="left"/>
            </w:pPr>
            <w:r>
              <w:t xml:space="preserve">1.8%</w:t>
            </w:r>
          </w:p>
        </w:tc>
        <w:tc>
          <w:tcPr/>
          <w:p>
            <w:pPr>
              <w:pStyle w:val="Compact"/>
              <w:jc w:val="left"/>
            </w:pPr>
            <w:r>
              <w:t xml:space="preserve">2.0%</w:t>
            </w:r>
          </w:p>
        </w:tc>
        <w:tc>
          <w:tcPr/>
          <w:p>
            <w:pPr>
              <w:pStyle w:val="Compact"/>
              <w:jc w:val="left"/>
            </w:pPr>
            <w:r>
              <w:t xml:space="preserve">7.1 months</w:t>
            </w:r>
          </w:p>
        </w:tc>
      </w:tr>
    </w:tbl>
    <w:p>
      <w:pPr>
        <w:pStyle w:val="BodyText"/>
      </w:pPr>
      <w:r>
        <w:rPr>
          <w:bCs/>
          <w:b/>
        </w:rPr>
        <w:t xml:space="preserve">T3: Client AI Adoption (Current: 12%)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Threshold</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36 Months</w:t>
            </w:r>
          </w:p>
        </w:tc>
        <w:tc>
          <w:tcPr/>
          <w:p>
            <w:pPr>
              <w:pStyle w:val="Compact"/>
              <w:jc w:val="left"/>
            </w:pPr>
            <w:r>
              <w:t xml:space="preserve">Median Time to Cross</w:t>
            </w:r>
          </w:p>
        </w:tc>
      </w:tr>
      <w:tr>
        <w:tc>
          <w:tcPr/>
          <w:p>
            <w:pPr>
              <w:pStyle w:val="Compact"/>
              <w:jc w:val="left"/>
            </w:pPr>
            <w:r>
              <w:t xml:space="preserve">S1 (40%)</w:t>
            </w:r>
          </w:p>
        </w:tc>
        <w:tc>
          <w:tcPr/>
          <w:p>
            <w:pPr>
              <w:pStyle w:val="Compact"/>
              <w:jc w:val="left"/>
            </w:pPr>
            <w:r>
              <w:t xml:space="preserve">37.2%</w:t>
            </w:r>
          </w:p>
        </w:tc>
        <w:tc>
          <w:tcPr/>
          <w:p>
            <w:pPr>
              <w:pStyle w:val="Compact"/>
              <w:jc w:val="left"/>
            </w:pPr>
            <w:r>
              <w:t xml:space="preserve">80.1%</w:t>
            </w:r>
          </w:p>
        </w:tc>
        <w:tc>
          <w:tcPr/>
          <w:p>
            <w:pPr>
              <w:pStyle w:val="Compact"/>
              <w:jc w:val="left"/>
            </w:pPr>
            <w:r>
              <w:t xml:space="preserve">88.8%</w:t>
            </w:r>
          </w:p>
        </w:tc>
        <w:tc>
          <w:tcPr/>
          <w:p>
            <w:pPr>
              <w:pStyle w:val="Compact"/>
              <w:jc w:val="left"/>
            </w:pPr>
            <w:r>
              <w:t xml:space="preserve">13.6 months</w:t>
            </w:r>
          </w:p>
        </w:tc>
      </w:tr>
      <w:tr>
        <w:tc>
          <w:tcPr/>
          <w:p>
            <w:pPr>
              <w:pStyle w:val="Compact"/>
              <w:jc w:val="left"/>
            </w:pPr>
            <w:r>
              <w:t xml:space="preserve">S2 (25%)</w:t>
            </w:r>
          </w:p>
        </w:tc>
        <w:tc>
          <w:tcPr/>
          <w:p>
            <w:pPr>
              <w:pStyle w:val="Compact"/>
              <w:jc w:val="left"/>
            </w:pPr>
            <w:r>
              <w:t xml:space="preserve">82.4%</w:t>
            </w:r>
          </w:p>
        </w:tc>
        <w:tc>
          <w:tcPr/>
          <w:p>
            <w:pPr>
              <w:pStyle w:val="Compact"/>
              <w:jc w:val="left"/>
            </w:pPr>
            <w:r>
              <w:t xml:space="preserve">92.7%</w:t>
            </w:r>
          </w:p>
        </w:tc>
        <w:tc>
          <w:tcPr/>
          <w:p>
            <w:pPr>
              <w:pStyle w:val="Compact"/>
              <w:jc w:val="left"/>
            </w:pPr>
            <w:r>
              <w:t xml:space="preserve">94.5%</w:t>
            </w:r>
          </w:p>
        </w:tc>
        <w:tc>
          <w:tcPr/>
          <w:p>
            <w:pPr>
              <w:pStyle w:val="Compact"/>
              <w:jc w:val="left"/>
            </w:pPr>
            <w:r>
              <w:t xml:space="preserve">6.3 months</w:t>
            </w:r>
          </w:p>
        </w:tc>
      </w:tr>
      <w:tr>
        <w:tc>
          <w:tcPr/>
          <w:p>
            <w:pPr>
              <w:pStyle w:val="Compact"/>
              <w:jc w:val="left"/>
            </w:pPr>
            <w:r>
              <w:t xml:space="preserve">S3 stagnation (&lt;10%)</w:t>
            </w:r>
          </w:p>
        </w:tc>
        <w:tc>
          <w:tcPr/>
          <w:p>
            <w:pPr>
              <w:pStyle w:val="Compact"/>
              <w:jc w:val="left"/>
            </w:pPr>
            <w:r>
              <w:t xml:space="preserve">1.7%</w:t>
            </w:r>
          </w:p>
        </w:tc>
        <w:tc>
          <w:tcPr/>
          <w:p>
            <w:pPr>
              <w:pStyle w:val="Compact"/>
              <w:jc w:val="left"/>
            </w:pPr>
            <w:r>
              <w:t xml:space="preserve">2.0%</w:t>
            </w:r>
          </w:p>
        </w:tc>
        <w:tc>
          <w:tcPr/>
          <w:p>
            <w:pPr>
              <w:pStyle w:val="Compact"/>
              <w:jc w:val="left"/>
            </w:pPr>
            <w:r>
              <w:t xml:space="preserve">2.1%</w:t>
            </w:r>
          </w:p>
        </w:tc>
        <w:tc>
          <w:tcPr/>
          <w:p>
            <w:pPr>
              <w:pStyle w:val="Compact"/>
              <w:jc w:val="left"/>
            </w:pPr>
            <w:r>
              <w:t xml:space="preserve">7.4 months</w:t>
            </w:r>
          </w:p>
        </w:tc>
      </w:tr>
    </w:tbl>
    <w:p>
      <w:pPr>
        <w:pStyle w:val="BodyText"/>
      </w:pPr>
      <w:r>
        <w:rPr>
          <w:bCs/>
          <w:b/>
        </w:rPr>
        <w:t xml:space="preserve">T4: Advisor Preference (Current: 72%)</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Threshold</w:t>
            </w:r>
          </w:p>
        </w:tc>
        <w:tc>
          <w:tcPr/>
          <w:p>
            <w:pPr>
              <w:pStyle w:val="Compact"/>
              <w:jc w:val="left"/>
            </w:pPr>
            <w:r>
              <w:t xml:space="preserve">12 Months</w:t>
            </w:r>
          </w:p>
        </w:tc>
        <w:tc>
          <w:tcPr/>
          <w:p>
            <w:pPr>
              <w:pStyle w:val="Compact"/>
              <w:jc w:val="left"/>
            </w:pPr>
            <w:r>
              <w:t xml:space="preserve">24 Months</w:t>
            </w:r>
          </w:p>
        </w:tc>
        <w:tc>
          <w:tcPr/>
          <w:p>
            <w:pPr>
              <w:pStyle w:val="Compact"/>
              <w:jc w:val="left"/>
            </w:pPr>
            <w:r>
              <w:t xml:space="preserve">36 Months</w:t>
            </w:r>
          </w:p>
        </w:tc>
        <w:tc>
          <w:tcPr/>
          <w:p>
            <w:pPr>
              <w:pStyle w:val="Compact"/>
              <w:jc w:val="left"/>
            </w:pPr>
            <w:r>
              <w:t xml:space="preserve">Median Time to Cross</w:t>
            </w:r>
          </w:p>
        </w:tc>
      </w:tr>
      <w:tr>
        <w:tc>
          <w:tcPr/>
          <w:p>
            <w:pPr>
              <w:pStyle w:val="Compact"/>
              <w:jc w:val="left"/>
            </w:pPr>
            <w:r>
              <w:t xml:space="preserve">S1 (&lt;40%)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 months</w:t>
            </w:r>
          </w:p>
        </w:tc>
      </w:tr>
      <w:tr>
        <w:tc>
          <w:tcPr/>
          <w:p>
            <w:pPr>
              <w:pStyle w:val="Compact"/>
              <w:jc w:val="left"/>
            </w:pPr>
            <w:r>
              <w:t xml:space="preserve">S2 (&lt;55%)</w:t>
            </w:r>
          </w:p>
        </w:tc>
        <w:tc>
          <w:tcPr/>
          <w:p>
            <w:pPr>
              <w:pStyle w:val="Compact"/>
              <w:jc w:val="left"/>
            </w:pPr>
            <w:r>
              <w:t xml:space="preserve">100%</w:t>
            </w:r>
          </w:p>
        </w:tc>
        <w:tc>
          <w:tcPr/>
          <w:p>
            <w:pPr>
              <w:pStyle w:val="Compact"/>
              <w:jc w:val="left"/>
            </w:pPr>
            <w:r>
              <w:t xml:space="preserve">100%</w:t>
            </w:r>
          </w:p>
        </w:tc>
        <w:tc>
          <w:tcPr/>
          <w:p>
            <w:pPr>
              <w:pStyle w:val="Compact"/>
              <w:jc w:val="left"/>
            </w:pPr>
            <w:r>
              <w:t xml:space="preserve">100%</w:t>
            </w:r>
          </w:p>
        </w:tc>
        <w:tc>
          <w:tcPr/>
          <w:p>
            <w:pPr>
              <w:pStyle w:val="Compact"/>
              <w:jc w:val="left"/>
            </w:pPr>
            <w:r>
              <w:t xml:space="preserve">0 months</w:t>
            </w:r>
          </w:p>
        </w:tc>
      </w:tr>
      <w:tr>
        <w:tc>
          <w:tcPr/>
          <w:p>
            <w:pPr>
              <w:pStyle w:val="Compact"/>
              <w:jc w:val="left"/>
            </w:pPr>
            <w:r>
              <w:t xml:space="preserve">S3 (&gt;80%)</w:t>
            </w:r>
          </w:p>
        </w:tc>
        <w:tc>
          <w:tcPr/>
          <w:p>
            <w:pPr>
              <w:pStyle w:val="Compact"/>
              <w:jc w:val="left"/>
            </w:pPr>
            <w:r>
              <w:t xml:space="preserve">0.1%</w:t>
            </w:r>
          </w:p>
        </w:tc>
        <w:tc>
          <w:tcPr/>
          <w:p>
            <w:pPr>
              <w:pStyle w:val="Compact"/>
              <w:jc w:val="left"/>
            </w:pPr>
            <w:r>
              <w:t xml:space="preserve">1.0%</w:t>
            </w:r>
          </w:p>
        </w:tc>
        <w:tc>
          <w:tcPr/>
          <w:p>
            <w:pPr>
              <w:pStyle w:val="Compact"/>
              <w:jc w:val="left"/>
            </w:pPr>
            <w:r>
              <w:t xml:space="preserve">1.8%</w:t>
            </w:r>
          </w:p>
        </w:tc>
        <w:tc>
          <w:tcPr/>
          <w:p>
            <w:pPr>
              <w:pStyle w:val="Compact"/>
              <w:jc w:val="left"/>
            </w:pPr>
            <w:r>
              <w:t xml:space="preserve">53.7 months</w:t>
            </w:r>
          </w:p>
        </w:tc>
      </w:tr>
    </w:tbl>
    <w:p>
      <w:pPr>
        <w:pStyle w:val="BodyText"/>
      </w:pPr>
      <w:r>
        <w:rPr>
          <w:bCs/>
          <w:b/>
        </w:rPr>
        <w:t xml:space="preserve">Strategic implication:</w:t>
      </w:r>
      <w:r>
        <w:t xml:space="preserve"> </w:t>
      </w:r>
      <w:r>
        <w:t xml:space="preserve">T4 (Advisor Preference) is the earliest available signal. The current value of 72% already sits between S2 (55%) and S3 (80%), suggesting that Hybrid Evolution (S2) has already begun for this indicator. The monitoring system (NR2) must be operational by Q2 2026 to capture the trajectory.</w:t>
      </w:r>
    </w:p>
    <w:bookmarkEnd w:id="75"/>
    <w:bookmarkStart w:id="76" w:name="early-warning-dashboard-design"/>
    <w:p>
      <w:pPr>
        <w:pStyle w:val="Heading3"/>
      </w:pPr>
      <w:r>
        <w:t xml:space="preserve">Early Warning Dashboard Design</w:t>
      </w:r>
    </w:p>
    <w:p>
      <w:pPr>
        <w:pStyle w:val="FirstParagraph"/>
      </w:pPr>
      <w:r>
        <w:t xml:space="preserve">The proposed dashboard tracks all six triggers with traffic-light indicators:</w:t>
      </w:r>
    </w:p>
    <w:p>
      <w:pPr>
        <w:pStyle w:val="SourceCode"/>
      </w:pPr>
      <w:r>
        <w:rPr>
          <w:rStyle w:val="VerbatimChar"/>
        </w:rPr>
        <w:t xml:space="preserve">┌─────────────────────────────────────────────────────────────────────┐</w:t>
      </w:r>
      <w:r>
        <w:br/>
      </w:r>
      <w:r>
        <w:rPr>
          <w:rStyle w:val="VerbatimChar"/>
        </w:rPr>
        <w:t xml:space="preserve">│  UBS AI MARKETING EARLY WARNING DASHBOARD                           │</w:t>
      </w:r>
      <w:r>
        <w:br/>
      </w:r>
      <w:r>
        <w:rPr>
          <w:rStyle w:val="VerbatimChar"/>
        </w:rPr>
        <w:t xml:space="preserve">├──────┬────────────────────────────┬────────┬────────┬───────────────┤</w:t>
      </w:r>
      <w:r>
        <w:br/>
      </w:r>
      <w:r>
        <w:rPr>
          <w:rStyle w:val="VerbatimChar"/>
        </w:rPr>
        <w:t xml:space="preserve">│  ID  │  Metric                    │ Current│ Signal │ Direction     │</w:t>
      </w:r>
      <w:r>
        <w:br/>
      </w:r>
      <w:r>
        <w:rPr>
          <w:rStyle w:val="VerbatimChar"/>
        </w:rPr>
        <w:t xml:space="preserve">├──────┼────────────────────────────┼────────┼────────┼───────────────┤</w:t>
      </w:r>
      <w:r>
        <w:br/>
      </w:r>
      <w:r>
        <w:rPr>
          <w:rStyle w:val="VerbatimChar"/>
        </w:rPr>
        <w:t xml:space="preserve">│  T1  │  AI Query Share (CH)       │  8%    │  ●     │  → S2         │</w:t>
      </w:r>
      <w:r>
        <w:br/>
      </w:r>
      <w:r>
        <w:rPr>
          <w:rStyle w:val="VerbatimChar"/>
        </w:rPr>
        <w:t xml:space="preserve">│  T2  │  BigTech License Filings   │  0     │  ●     │  Neutral      │</w:t>
      </w:r>
      <w:r>
        <w:br/>
      </w:r>
      <w:r>
        <w:rPr>
          <w:rStyle w:val="VerbatimChar"/>
        </w:rPr>
        <w:t xml:space="preserve">│  T3  │  Client AI Adoption        │  12%   │  ●     │  → S2         │</w:t>
      </w:r>
      <w:r>
        <w:br/>
      </w:r>
      <w:r>
        <w:rPr>
          <w:rStyle w:val="VerbatimChar"/>
        </w:rPr>
        <w:t xml:space="preserve">│  T4  │  Advisor Preference        │  72%   │  ●     │  → S2 (close) │</w:t>
      </w:r>
      <w:r>
        <w:br/>
      </w:r>
      <w:r>
        <w:rPr>
          <w:rStyle w:val="VerbatimChar"/>
        </w:rPr>
        <w:t xml:space="preserve">│  T5  │  AI Brand Incidents        │  3/yr  │  ●     │  Neutral      │</w:t>
      </w:r>
      <w:r>
        <w:br/>
      </w:r>
      <w:r>
        <w:rPr>
          <w:rStyle w:val="VerbatimChar"/>
        </w:rPr>
        <w:t xml:space="preserve">│  T6  │  CS-Migrated NPS           │  +15   │  ●     │  Warning      │</w:t>
      </w:r>
      <w:r>
        <w:br/>
      </w:r>
      <w:r>
        <w:rPr>
          <w:rStyle w:val="VerbatimChar"/>
        </w:rPr>
        <w:t xml:space="preserve">├──────┴────────────────────────────┴────────┴────────┴───────────────┤</w:t>
      </w:r>
      <w:r>
        <w:br/>
      </w:r>
      <w:r>
        <w:rPr>
          <w:rStyle w:val="VerbatimChar"/>
        </w:rPr>
        <w:t xml:space="preserve">│  ● Green = Within expected range                                    │</w:t>
      </w:r>
      <w:r>
        <w:br/>
      </w:r>
      <w:r>
        <w:rPr>
          <w:rStyle w:val="VerbatimChar"/>
        </w:rPr>
        <w:t xml:space="preserve">│  ● Amber = Approaching threshold                                    │</w:t>
      </w:r>
      <w:r>
        <w:br/>
      </w:r>
      <w:r>
        <w:rPr>
          <w:rStyle w:val="VerbatimChar"/>
        </w:rPr>
        <w:t xml:space="preserve">│  ● Red   = Threshold exceeded — strategic response triggered        │</w:t>
      </w:r>
      <w:r>
        <w:br/>
      </w:r>
      <w:r>
        <w:rPr>
          <w:rStyle w:val="VerbatimChar"/>
        </w:rPr>
        <w:t xml:space="preserve">├─────────────────────────────────────────────────────────────────────┤</w:t>
      </w:r>
      <w:r>
        <w:br/>
      </w:r>
      <w:r>
        <w:rPr>
          <w:rStyle w:val="VerbatimChar"/>
        </w:rPr>
        <w:t xml:space="preserve">│  SCENARIO PROBABILITY (Updated):                                     │</w:t>
      </w:r>
      <w:r>
        <w:br/>
      </w:r>
      <w:r>
        <w:rPr>
          <w:rStyle w:val="VerbatimChar"/>
        </w:rPr>
        <w:t xml:space="preserve">│  S1 BigTech: 20%  │  S2 Hybrid: 50%  │  S3 Trust: 30%              │</w:t>
      </w:r>
      <w:r>
        <w:br/>
      </w:r>
      <w:r>
        <w:rPr>
          <w:rStyle w:val="VerbatimChar"/>
        </w:rPr>
        <w:t xml:space="preserve">│  Last updated: [date] │ Next review: [date+3m]                      │</w:t>
      </w:r>
      <w:r>
        <w:br/>
      </w:r>
      <w:r>
        <w:rPr>
          <w:rStyle w:val="VerbatimChar"/>
        </w:rPr>
        <w:t xml:space="preserve">└─────────────────────────────────────────────────────────────────────┘</w:t>
      </w:r>
    </w:p>
    <w:bookmarkEnd w:id="76"/>
    <w:bookmarkStart w:id="77" w:name="escalation-protocol"/>
    <w:p>
      <w:pPr>
        <w:pStyle w:val="Heading3"/>
      </w:pPr>
      <w:r>
        <w:t xml:space="preserve">Escalation Protocol</w:t>
      </w:r>
    </w:p>
    <w:tbl>
      <w:tblPr>
        <w:tblStyle w:val="Table"/>
        <w:tblW w:type="pct" w:w="5000"/>
        <w:tblLook w:firstRow="1" w:lastRow="0" w:firstColumn="0" w:lastColumn="0" w:noHBand="0" w:noVBand="0" w:val="0020"/>
        <w:jc w:val="start"/>
      </w:tblPr>
      <w:tblGrid>
        <w:gridCol w:w="2420"/>
        <w:gridCol w:w="1760"/>
        <w:gridCol w:w="2200"/>
        <w:gridCol w:w="1540"/>
      </w:tblGrid>
      <w:tr>
        <w:trPr>
          <w:tblHeader w:val="true"/>
        </w:trPr>
        <w:tc>
          <w:tcPr/>
          <w:p>
            <w:pPr>
              <w:pStyle w:val="Compact"/>
              <w:jc w:val="left"/>
            </w:pPr>
            <w:r>
              <w:t xml:space="preserve">Condition</w:t>
            </w:r>
          </w:p>
        </w:tc>
        <w:tc>
          <w:tcPr/>
          <w:p>
            <w:pPr>
              <w:pStyle w:val="Compact"/>
              <w:jc w:val="left"/>
            </w:pPr>
            <w:r>
              <w:t xml:space="preserve">Action</w:t>
            </w:r>
          </w:p>
        </w:tc>
        <w:tc>
          <w:tcPr/>
          <w:p>
            <w:pPr>
              <w:pStyle w:val="Compact"/>
              <w:jc w:val="left"/>
            </w:pPr>
            <w:r>
              <w:t xml:space="preserve">Timeline</w:t>
            </w:r>
          </w:p>
        </w:tc>
        <w:tc>
          <w:tcPr/>
          <w:p>
            <w:pPr>
              <w:pStyle w:val="Compact"/>
              <w:jc w:val="left"/>
            </w:pPr>
            <w:r>
              <w:t xml:space="preserve">Owner</w:t>
            </w:r>
          </w:p>
        </w:tc>
      </w:tr>
      <w:tr>
        <w:tc>
          <w:tcPr/>
          <w:p>
            <w:pPr>
              <w:pStyle w:val="Compact"/>
              <w:jc w:val="left"/>
            </w:pPr>
            <w:r>
              <w:t xml:space="preserve">1 trigger at amber</w:t>
            </w:r>
          </w:p>
        </w:tc>
        <w:tc>
          <w:tcPr/>
          <w:p>
            <w:pPr>
              <w:pStyle w:val="Compact"/>
              <w:jc w:val="left"/>
            </w:pPr>
            <w:r>
              <w:t xml:space="preserve">Note in quarterly review</w:t>
            </w:r>
          </w:p>
        </w:tc>
        <w:tc>
          <w:tcPr/>
          <w:p>
            <w:pPr>
              <w:pStyle w:val="Compact"/>
              <w:jc w:val="left"/>
            </w:pPr>
            <w:r>
              <w:t xml:space="preserve">Next QBR</w:t>
            </w:r>
          </w:p>
        </w:tc>
        <w:tc>
          <w:tcPr/>
          <w:p>
            <w:pPr>
              <w:pStyle w:val="Compact"/>
              <w:jc w:val="left"/>
            </w:pPr>
            <w:r>
              <w:t xml:space="preserve">Marketing Intelligence</w:t>
            </w:r>
          </w:p>
        </w:tc>
      </w:tr>
      <w:tr>
        <w:tc>
          <w:tcPr/>
          <w:p>
            <w:pPr>
              <w:pStyle w:val="Compact"/>
              <w:jc w:val="left"/>
            </w:pPr>
            <w:r>
              <w:t xml:space="preserve">2+ triggers at amber</w:t>
            </w:r>
          </w:p>
        </w:tc>
        <w:tc>
          <w:tcPr/>
          <w:p>
            <w:pPr>
              <w:pStyle w:val="Compact"/>
              <w:jc w:val="left"/>
            </w:pPr>
            <w:r>
              <w:t xml:space="preserve">Ad hoc strategy review</w:t>
            </w:r>
          </w:p>
        </w:tc>
        <w:tc>
          <w:tcPr/>
          <w:p>
            <w:pPr>
              <w:pStyle w:val="Compact"/>
              <w:jc w:val="left"/>
            </w:pPr>
            <w:r>
              <w:t xml:space="preserve">Within 2 weeks</w:t>
            </w:r>
          </w:p>
        </w:tc>
        <w:tc>
          <w:tcPr/>
          <w:p>
            <w:pPr>
              <w:pStyle w:val="Compact"/>
              <w:jc w:val="left"/>
            </w:pPr>
            <w:r>
              <w:t xml:space="preserve">Head of Marketing Strategy</w:t>
            </w:r>
          </w:p>
        </w:tc>
      </w:tr>
      <w:tr>
        <w:tc>
          <w:tcPr/>
          <w:p>
            <w:pPr>
              <w:pStyle w:val="Compact"/>
              <w:jc w:val="left"/>
            </w:pPr>
            <w:r>
              <w:t xml:space="preserve">Any trigger at red</w:t>
            </w:r>
          </w:p>
        </w:tc>
        <w:tc>
          <w:tcPr/>
          <w:p>
            <w:pPr>
              <w:pStyle w:val="Compact"/>
              <w:jc w:val="left"/>
            </w:pPr>
            <w:r>
              <w:t xml:space="preserve">Emergency strategy session</w:t>
            </w:r>
          </w:p>
        </w:tc>
        <w:tc>
          <w:tcPr/>
          <w:p>
            <w:pPr>
              <w:pStyle w:val="Compact"/>
              <w:jc w:val="left"/>
            </w:pPr>
            <w:r>
              <w:t xml:space="preserve">Within 48 hours</w:t>
            </w:r>
          </w:p>
        </w:tc>
        <w:tc>
          <w:tcPr/>
          <w:p>
            <w:pPr>
              <w:pStyle w:val="Compact"/>
              <w:jc w:val="left"/>
            </w:pPr>
            <w:r>
              <w:t xml:space="preserve">CMO + Business Line Heads</w:t>
            </w:r>
          </w:p>
        </w:tc>
      </w:tr>
      <w:tr>
        <w:tc>
          <w:tcPr/>
          <w:p>
            <w:pPr>
              <w:pStyle w:val="Compact"/>
              <w:jc w:val="left"/>
            </w:pPr>
            <w:r>
              <w:t xml:space="preserve">T6 (CS-NPS) below 0</w:t>
            </w:r>
          </w:p>
        </w:tc>
        <w:tc>
          <w:tcPr/>
          <w:p>
            <w:pPr>
              <w:pStyle w:val="Compact"/>
              <w:jc w:val="left"/>
            </w:pPr>
            <w:r>
              <w:t xml:space="preserve">Crisis response activation</w:t>
            </w:r>
          </w:p>
        </w:tc>
        <w:tc>
          <w:tcPr/>
          <w:p>
            <w:pPr>
              <w:pStyle w:val="Compact"/>
              <w:jc w:val="left"/>
            </w:pPr>
            <w:r>
              <w:t xml:space="preserve">Immediate</w:t>
            </w:r>
          </w:p>
        </w:tc>
        <w:tc>
          <w:tcPr/>
          <w:p>
            <w:pPr>
              <w:pStyle w:val="Compact"/>
              <w:jc w:val="left"/>
            </w:pPr>
            <w:r>
              <w:t xml:space="preserve">CEO + CMO</w:t>
            </w:r>
          </w:p>
        </w:tc>
      </w:tr>
    </w:tbl>
    <w:bookmarkEnd w:id="77"/>
    <w:bookmarkEnd w:id="78"/>
    <w:bookmarkStart w:id="81" w:name="scenario-probability-assessment"/>
    <w:p>
      <w:pPr>
        <w:pStyle w:val="Heading2"/>
      </w:pPr>
      <w:r>
        <w:t xml:space="preserve">4.8 Scenario Probability Assessment</w:t>
      </w:r>
    </w:p>
    <w:bookmarkStart w:id="79" w:name="current-assessment-february-2026"/>
    <w:p>
      <w:pPr>
        <w:pStyle w:val="Heading3"/>
      </w:pPr>
      <w:r>
        <w:t xml:space="preserve">Current Assessment (February 2026)</w:t>
      </w:r>
    </w:p>
    <w:tbl>
      <w:tblPr>
        <w:tblStyle w:val="Table"/>
        <w:tblW w:type="pct" w:w="5000"/>
        <w:tblLook w:firstRow="1" w:lastRow="0" w:firstColumn="0" w:lastColumn="0" w:noHBand="0" w:noVBand="0" w:val="0020"/>
        <w:jc w:val="start"/>
      </w:tblPr>
      <w:tblGrid>
        <w:gridCol w:w="1494"/>
        <w:gridCol w:w="2839"/>
        <w:gridCol w:w="1195"/>
        <w:gridCol w:w="2390"/>
      </w:tblGrid>
      <w:tr>
        <w:trPr>
          <w:tblHeader w:val="true"/>
        </w:trPr>
        <w:tc>
          <w:tcPr/>
          <w:p>
            <w:pPr>
              <w:pStyle w:val="Compact"/>
              <w:jc w:val="left"/>
            </w:pPr>
            <w:r>
              <w:t xml:space="preserve">Scenario</w:t>
            </w:r>
          </w:p>
        </w:tc>
        <w:tc>
          <w:tcPr/>
          <w:p>
            <w:pPr>
              <w:pStyle w:val="Compact"/>
              <w:jc w:val="left"/>
            </w:pPr>
            <w:r>
              <w:t xml:space="preserve">Prior Probability</w:t>
            </w:r>
          </w:p>
        </w:tc>
        <w:tc>
          <w:tcPr/>
          <w:p>
            <w:pPr>
              <w:pStyle w:val="Compact"/>
              <w:jc w:val="left"/>
            </w:pPr>
            <w:r>
              <w:t xml:space="preserve">95% CI</w:t>
            </w:r>
          </w:p>
        </w:tc>
        <w:tc>
          <w:tcPr/>
          <w:p>
            <w:pPr>
              <w:pStyle w:val="Compact"/>
              <w:jc w:val="left"/>
            </w:pPr>
            <w:r>
              <w:t xml:space="preserve">Key Assumption</w:t>
            </w:r>
          </w:p>
        </w:tc>
      </w:tr>
      <w:tr>
        <w:tc>
          <w:tcPr/>
          <w:p>
            <w:pPr>
              <w:pStyle w:val="Compact"/>
              <w:jc w:val="left"/>
            </w:pPr>
            <w:r>
              <w:t xml:space="preserve">S1: BigTech Dominance</w:t>
            </w:r>
          </w:p>
        </w:tc>
        <w:tc>
          <w:tcPr/>
          <w:p>
            <w:pPr>
              <w:pStyle w:val="Compact"/>
              <w:jc w:val="left"/>
            </w:pPr>
            <w:r>
              <w:t xml:space="preserve">20%</w:t>
            </w:r>
          </w:p>
        </w:tc>
        <w:tc>
          <w:tcPr/>
          <w:p>
            <w:pPr>
              <w:pStyle w:val="Compact"/>
              <w:jc w:val="left"/>
            </w:pPr>
            <w:r>
              <w:t xml:space="preserve">[6%, 40%]</w:t>
            </w:r>
          </w:p>
        </w:tc>
        <w:tc>
          <w:tcPr/>
          <w:p>
            <w:pPr>
              <w:pStyle w:val="Compact"/>
              <w:jc w:val="left"/>
            </w:pPr>
            <w:r>
              <w:t xml:space="preserve">No BigTech license yet; technology ready but regulatory uncertain</w:t>
            </w:r>
          </w:p>
        </w:tc>
      </w:tr>
      <w:tr>
        <w:tc>
          <w:tcPr/>
          <w:p>
            <w:pPr>
              <w:pStyle w:val="Compact"/>
              <w:jc w:val="left"/>
            </w:pPr>
            <w:r>
              <w:t xml:space="preserve">S2: Hybrid Evolution</w:t>
            </w:r>
          </w:p>
        </w:tc>
        <w:tc>
          <w:tcPr/>
          <w:p>
            <w:pPr>
              <w:pStyle w:val="Compact"/>
              <w:jc w:val="left"/>
            </w:pPr>
            <w:r>
              <w:t xml:space="preserve">50%</w:t>
            </w:r>
          </w:p>
        </w:tc>
        <w:tc>
          <w:tcPr/>
          <w:p>
            <w:pPr>
              <w:pStyle w:val="Compact"/>
              <w:jc w:val="left"/>
            </w:pPr>
            <w:r>
              <w:t xml:space="preserve">[29%, 71%]</w:t>
            </w:r>
          </w:p>
        </w:tc>
        <w:tc>
          <w:tcPr/>
          <w:p>
            <w:pPr>
              <w:pStyle w:val="Compact"/>
              <w:jc w:val="left"/>
            </w:pPr>
            <w:r>
              <w:t xml:space="preserve">Most consistent with current trajectory</w:t>
            </w:r>
          </w:p>
        </w:tc>
      </w:tr>
      <w:tr>
        <w:tc>
          <w:tcPr/>
          <w:p>
            <w:pPr>
              <w:pStyle w:val="Compact"/>
              <w:jc w:val="left"/>
            </w:pPr>
            <w:r>
              <w:t xml:space="preserve">S3: Trust-Anchored Banking</w:t>
            </w:r>
          </w:p>
        </w:tc>
        <w:tc>
          <w:tcPr/>
          <w:p>
            <w:pPr>
              <w:pStyle w:val="Compact"/>
              <w:jc w:val="left"/>
            </w:pPr>
            <w:r>
              <w:t xml:space="preserve">30%</w:t>
            </w:r>
          </w:p>
        </w:tc>
        <w:tc>
          <w:tcPr/>
          <w:p>
            <w:pPr>
              <w:pStyle w:val="Compact"/>
              <w:jc w:val="left"/>
            </w:pPr>
            <w:r>
              <w:t xml:space="preserve">[12%, 51%]</w:t>
            </w:r>
          </w:p>
        </w:tc>
        <w:tc>
          <w:tcPr/>
          <w:p>
            <w:pPr>
              <w:pStyle w:val="Compact"/>
              <w:jc w:val="left"/>
            </w:pPr>
            <w:r>
              <w:t xml:space="preserve">Requires external shock (AI scandal, regulatory crackdown)</w:t>
            </w:r>
          </w:p>
        </w:tc>
      </w:tr>
    </w:tbl>
    <w:bookmarkEnd w:id="79"/>
    <w:bookmarkStart w:id="80" w:name="sensitivity-analysis"/>
    <w:p>
      <w:pPr>
        <w:pStyle w:val="Heading3"/>
      </w:pPr>
      <w:r>
        <w:t xml:space="preserve">Sensitivity Analysis</w:t>
      </w:r>
    </w:p>
    <w:p>
      <w:pPr>
        <w:pStyle w:val="FirstParagraph"/>
      </w:pPr>
      <w:r>
        <w:t xml:space="preserve">The model is most sensitive to:</w:t>
      </w:r>
    </w:p>
    <w:p>
      <w:pPr>
        <w:numPr>
          <w:ilvl w:val="0"/>
          <w:numId w:val="1025"/>
        </w:numPr>
        <w:pStyle w:val="Compact"/>
      </w:pPr>
      <w:r>
        <w:rPr>
          <w:bCs/>
          <w:b/>
        </w:rPr>
        <w:t xml:space="preserve">P(S1 BigTech): r = −0.526</w:t>
      </w:r>
      <w:r>
        <w:t xml:space="preserve"> </w:t>
      </w:r>
      <w:r>
        <w:t xml:space="preserve">— the strongest driver of total portfolio value. Each percentage point increase in S1 probability reduces expected value because BigTech Dominance erodes UBS’s brand premium and advisor value.</w:t>
      </w:r>
    </w:p>
    <w:p>
      <w:pPr>
        <w:numPr>
          <w:ilvl w:val="0"/>
          <w:numId w:val="1025"/>
        </w:numPr>
        <w:pStyle w:val="Compact"/>
      </w:pPr>
      <w:r>
        <w:rPr>
          <w:bCs/>
          <w:b/>
        </w:rPr>
        <w:t xml:space="preserve">P(S3 Trust): r = +0.332</w:t>
      </w:r>
      <w:r>
        <w:t xml:space="preserve"> </w:t>
      </w:r>
      <w:r>
        <w:t xml:space="preserve">— the strongest positive driver. Trust-Anchored Banking amplifies UBS’s existing competitive advantages.</w:t>
      </w:r>
    </w:p>
    <w:p>
      <w:pPr>
        <w:numPr>
          <w:ilvl w:val="0"/>
          <w:numId w:val="1025"/>
        </w:numPr>
        <w:pStyle w:val="Compact"/>
      </w:pPr>
      <w:r>
        <w:rPr>
          <w:bCs/>
          <w:b/>
        </w:rPr>
        <w:t xml:space="preserve">P(S2 Hybrid): r = +0.116</w:t>
      </w:r>
      <w:r>
        <w:t xml:space="preserve"> </w:t>
      </w:r>
      <w:r>
        <w:t xml:space="preserve">— slightly positive, as the balanced scenario allows UBS to leverage both traditional and AI capabilities.</w:t>
      </w:r>
    </w:p>
    <w:p>
      <w:r>
        <w:pict>
          <v:rect style="width:0;height:1.5pt" o:hralign="center" o:hrstd="t" o:hr="t"/>
        </w:pict>
      </w:r>
    </w:p>
    <w:bookmarkEnd w:id="80"/>
    <w:bookmarkEnd w:id="81"/>
    <w:bookmarkEnd w:id="82"/>
    <w:bookmarkStart w:id="101" w:name="Xab9d0e8dc303a19632dbdd60f3f3f46d05ce24d"/>
    <w:p>
      <w:pPr>
        <w:pStyle w:val="Heading1"/>
      </w:pPr>
      <w:r>
        <w:t xml:space="preserve">5. Question 3: Marketing Organization Transformation</w:t>
      </w:r>
    </w:p>
    <w:p>
      <w:pPr>
        <w:pStyle w:val="FirstParagraph"/>
      </w:pPr>
      <w:r>
        <w:rPr>
          <w:iCs/>
          <w:i/>
        </w:rPr>
        <w:t xml:space="preserve">How must UBS’s marketing organization evolve — in terms of structure, roles, skills, and processes — to succeed across the identified scenarios?</w:t>
      </w:r>
    </w:p>
    <w:bookmarkStart w:id="86" w:name="part-a-role-transformation-analysis"/>
    <w:p>
      <w:pPr>
        <w:pStyle w:val="Heading2"/>
      </w:pPr>
      <w:r>
        <w:t xml:space="preserve">5.1 Part A: Role Transformation Analysis</w:t>
      </w:r>
    </w:p>
    <w:bookmarkStart w:id="83" w:name="Xf0194a4c9f3d6112e0e3f0ac7633d4c1137ae2c"/>
    <w:p>
      <w:pPr>
        <w:pStyle w:val="Heading3"/>
      </w:pPr>
      <w:r>
        <w:t xml:space="preserve">5.1.1 The Theoretical Foundation: Technology of Skill Formation</w:t>
      </w:r>
    </w:p>
    <w:p>
      <w:pPr>
        <w:pStyle w:val="FirstParagraph"/>
      </w:pPr>
      <w:r>
        <w:t xml:space="preserve">The organizational transformation analysis is grounded in Cunha and Heckman’s (2007) Technology of Skill Formation and its extension to Dynamic Complementarity (Heckman et al., 2025). The core insight:</w:t>
      </w:r>
    </w:p>
    <w:p>
      <w:pPr>
        <w:pStyle w:val="BodyText"/>
      </w:pPr>
      <w:r>
        <w:rPr>
          <w:bCs/>
          <w:b/>
        </w:rPr>
        <w:t xml:space="preserve">Skill Production Function:</w:t>
      </w:r>
    </w:p>
    <w:p>
      <w:pPr>
        <w:pStyle w:val="SourceCode"/>
      </w:pPr>
      <w:r>
        <w:rPr>
          <w:rStyle w:val="VerbatimChar"/>
        </w:rPr>
        <w:t xml:space="preserve">K_AI(t+1) = f(K_current(t), I_training(t), K_traditional(t))</w:t>
      </w:r>
    </w:p>
    <w:p>
      <w:pPr>
        <w:pStyle w:val="FirstParagraph"/>
      </w:pPr>
      <w:r>
        <w:t xml:space="preserve">Where K_AI is AI-related skill capital, I_training is training investment, and K_traditional is existing marketing skill capital. The function exhibits two critical properties:</w:t>
      </w:r>
    </w:p>
    <w:p>
      <w:pPr>
        <w:numPr>
          <w:ilvl w:val="0"/>
          <w:numId w:val="1026"/>
        </w:numPr>
        <w:pStyle w:val="Compact"/>
      </w:pPr>
      <w:r>
        <w:rPr>
          <w:bCs/>
          <w:b/>
        </w:rPr>
        <w:t xml:space="preserve">Self-productivity:</w:t>
      </w:r>
      <w:r>
        <w:t xml:space="preserve"> </w:t>
      </w:r>
      <w:r>
        <w:t xml:space="preserve">∂K(t+1)/∂K(t) &gt; 0 — existing skills raise the productivity of new skill investment. A marketer with strong strategic fundamentals learns AI tools faster.</w:t>
      </w:r>
    </w:p>
    <w:p>
      <w:pPr>
        <w:numPr>
          <w:ilvl w:val="0"/>
          <w:numId w:val="1026"/>
        </w:numPr>
        <w:pStyle w:val="Compact"/>
      </w:pPr>
      <w:r>
        <w:rPr>
          <w:bCs/>
          <w:b/>
        </w:rPr>
        <w:t xml:space="preserve">Dynamic Complementarity:</w:t>
      </w:r>
      <w:r>
        <w:t xml:space="preserve"> </w:t>
      </w:r>
      <w:r>
        <w:t xml:space="preserve">∂²K(t+j+1)/∂I(t)∂I(t+j) &gt; 0 — early AI training raises the return on later AI training. This is Axiom AIM-12, validated by Monte Carlo at 100% confidence.</w:t>
      </w:r>
    </w:p>
    <w:p>
      <w:pPr>
        <w:pStyle w:val="FirstParagraph"/>
      </w:pPr>
      <w:r>
        <w:t xml:space="preserve">The practical implication is profound:</w:t>
      </w:r>
      <w:r>
        <w:t xml:space="preserve"> </w:t>
      </w:r>
      <w:r>
        <w:rPr>
          <w:bCs/>
          <w:b/>
        </w:rPr>
        <w:t xml:space="preserve">the cost of delay is not linear but exponential.</w:t>
      </w:r>
      <w:r>
        <w:t xml:space="preserve"> </w:t>
      </w:r>
      <w:r>
        <w:t xml:space="preserve">Each quarter of delayed training investment reduces the cumulative return on all future training.</w:t>
      </w:r>
    </w:p>
    <w:bookmarkEnd w:id="83"/>
    <w:bookmarkStart w:id="84" w:name="X144d022e8e047c99c8be19819964c12f70edbb7"/>
    <w:p>
      <w:pPr>
        <w:pStyle w:val="Heading3"/>
      </w:pPr>
      <w:r>
        <w:t xml:space="preserve">5.1.2 Roles Under Pressure: Transformation Roadmap</w:t>
      </w:r>
    </w:p>
    <w:p>
      <w:pPr>
        <w:pStyle w:val="FirstParagraph"/>
      </w:pPr>
      <w:r>
        <w:t xml:space="preserve">Six current marketing roles face significant AI-driven transformation. For each, we assess the replacement risk, transformation type, skill gap, and critical timeline:</w:t>
      </w:r>
    </w:p>
    <w:p>
      <w:pPr>
        <w:pStyle w:val="BodyText"/>
      </w:pPr>
      <w:r>
        <w:rPr>
          <w:bCs/>
          <w:b/>
        </w:rPr>
        <w:t xml:space="preserve">R1: Content Creator → AI Content Strategist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AI Replacement Risk</w:t>
            </w:r>
          </w:p>
        </w:tc>
        <w:tc>
          <w:tcPr/>
          <w:p>
            <w:pPr>
              <w:pStyle w:val="Compact"/>
              <w:jc w:val="left"/>
            </w:pPr>
            <w:r>
              <w:t xml:space="preserve">0.60 (moderate-high)</w:t>
            </w:r>
          </w:p>
        </w:tc>
      </w:tr>
      <w:tr>
        <w:tc>
          <w:tcPr/>
          <w:p>
            <w:pPr>
              <w:pStyle w:val="Compact"/>
              <w:jc w:val="left"/>
            </w:pPr>
            <w:r>
              <w:t xml:space="preserve">Transformation Type</w:t>
            </w:r>
          </w:p>
        </w:tc>
        <w:tc>
          <w:tcPr/>
          <w:p>
            <w:pPr>
              <w:pStyle w:val="Compact"/>
              <w:jc w:val="left"/>
            </w:pPr>
            <w:r>
              <w:t xml:space="preserve">Augmentation</w:t>
            </w:r>
          </w:p>
        </w:tc>
      </w:tr>
      <w:tr>
        <w:tc>
          <w:tcPr/>
          <w:p>
            <w:pPr>
              <w:pStyle w:val="Compact"/>
              <w:jc w:val="left"/>
            </w:pPr>
            <w:r>
              <w:t xml:space="preserve">Skill Gap</w:t>
            </w:r>
          </w:p>
        </w:tc>
        <w:tc>
          <w:tcPr/>
          <w:p>
            <w:pPr>
              <w:pStyle w:val="Compact"/>
              <w:jc w:val="left"/>
            </w:pPr>
            <w:r>
              <w:t xml:space="preserve">0.55</w:t>
            </w:r>
          </w:p>
        </w:tc>
      </w:tr>
      <w:tr>
        <w:tc>
          <w:tcPr/>
          <w:p>
            <w:pPr>
              <w:pStyle w:val="Compact"/>
              <w:jc w:val="left"/>
            </w:pPr>
            <w:r>
              <w:t xml:space="preserve">Critical Period</w:t>
            </w:r>
          </w:p>
        </w:tc>
        <w:tc>
          <w:tcPr/>
          <w:p>
            <w:pPr>
              <w:pStyle w:val="Compact"/>
              <w:jc w:val="left"/>
            </w:pPr>
            <w:r>
              <w:t xml:space="preserve">12 months</w:t>
            </w:r>
          </w:p>
        </w:tc>
      </w:tr>
      <w:tr>
        <w:tc>
          <w:tcPr/>
          <w:p>
            <w:pPr>
              <w:pStyle w:val="Compact"/>
              <w:jc w:val="left"/>
            </w:pPr>
            <w:r>
              <w:t xml:space="preserve">New Capabilities</w:t>
            </w:r>
          </w:p>
        </w:tc>
        <w:tc>
          <w:tcPr/>
          <w:p>
            <w:pPr>
              <w:pStyle w:val="Compact"/>
              <w:jc w:val="left"/>
            </w:pPr>
            <w:r>
              <w:t xml:space="preserve">Prompt engineering, AI output curation, brand voice calibration</w:t>
            </w:r>
          </w:p>
        </w:tc>
      </w:tr>
    </w:tbl>
    <w:p>
      <w:pPr>
        <w:pStyle w:val="BodyText"/>
      </w:pPr>
      <w:r>
        <w:rPr>
          <w:iCs/>
          <w:i/>
        </w:rPr>
        <w:t xml:space="preserve">Analysis:</w:t>
      </w:r>
      <w:r>
        <w:t xml:space="preserve"> </w:t>
      </w:r>
      <w:r>
        <w:t xml:space="preserve">Content creation is the marketing function most visibly transformed by generative AI. However, outright replacement is constrained by three factors specific to UBS: (1) regulatory compliance requirements mean every piece of client-facing content requires human review; (2) brand voice consistency across 50+ markets requires human judgment; (3) the emotional nuance of wealth management communication — discussing inheritance, retirement, or financial anxiety — requires human empathy that AI cannot reliably replicate.</w:t>
      </w:r>
    </w:p>
    <w:p>
      <w:pPr>
        <w:pStyle w:val="BodyText"/>
      </w:pPr>
      <w:r>
        <w:t xml:space="preserve">The transformation is from</w:t>
      </w:r>
      <w:r>
        <w:t xml:space="preserve"> </w:t>
      </w:r>
      <w:r>
        <w:t xml:space="preserve">“</w:t>
      </w:r>
      <w:r>
        <w:t xml:space="preserve">creator</w:t>
      </w:r>
      <w:r>
        <w:t xml:space="preserve">”</w:t>
      </w:r>
      <w:r>
        <w:t xml:space="preserve"> </w:t>
      </w:r>
      <w:r>
        <w:t xml:space="preserve">to</w:t>
      </w:r>
      <w:r>
        <w:t xml:space="preserve"> </w:t>
      </w:r>
      <w:r>
        <w:t xml:space="preserve">“</w:t>
      </w:r>
      <w:r>
        <w:t xml:space="preserve">strategist and curator.</w:t>
      </w:r>
      <w:r>
        <w:t xml:space="preserve">”</w:t>
      </w:r>
      <w:r>
        <w:t xml:space="preserve"> </w:t>
      </w:r>
      <w:r>
        <w:t xml:space="preserve">The AI Content Strategist defines the brief, selects the AI tools, reviews and refines AI output, ensures regulatory compliance, and maintains brand voice consistency. Volume of output increases 5–10x while headcount remains stable or declines modestly.</w:t>
      </w:r>
    </w:p>
    <w:p>
      <w:pPr>
        <w:pStyle w:val="BodyText"/>
      </w:pPr>
      <w:r>
        <w:rPr>
          <w:iCs/>
          <w:i/>
        </w:rPr>
        <w:t xml:space="preserve">UBS-specific context:</w:t>
      </w:r>
      <w:r>
        <w:t xml:space="preserve"> </w:t>
      </w:r>
      <w:r>
        <w:t xml:space="preserve">Post-CS integration, brand voice harmonization is ongoing. AI can accelerate this by generating content consistent with defined brand parameters, but human oversight of this harmonization process is essential.</w:t>
      </w:r>
    </w:p>
    <w:p>
      <w:pPr>
        <w:pStyle w:val="BodyText"/>
      </w:pPr>
      <w:r>
        <w:rPr>
          <w:bCs/>
          <w:b/>
        </w:rPr>
        <w:t xml:space="preserve">R2: Campaign Manager → AI Campaign Orchestrator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AI Replacement Risk</w:t>
            </w:r>
          </w:p>
        </w:tc>
        <w:tc>
          <w:tcPr/>
          <w:p>
            <w:pPr>
              <w:pStyle w:val="Compact"/>
              <w:jc w:val="left"/>
            </w:pPr>
            <w:r>
              <w:t xml:space="preserve">0.40 (moderate)</w:t>
            </w:r>
          </w:p>
        </w:tc>
      </w:tr>
      <w:tr>
        <w:tc>
          <w:tcPr/>
          <w:p>
            <w:pPr>
              <w:pStyle w:val="Compact"/>
              <w:jc w:val="left"/>
            </w:pPr>
            <w:r>
              <w:t xml:space="preserve">Transformation Type</w:t>
            </w:r>
          </w:p>
        </w:tc>
        <w:tc>
          <w:tcPr/>
          <w:p>
            <w:pPr>
              <w:pStyle w:val="Compact"/>
              <w:jc w:val="left"/>
            </w:pPr>
            <w:r>
              <w:t xml:space="preserve">Augmentation</w:t>
            </w:r>
          </w:p>
        </w:tc>
      </w:tr>
      <w:tr>
        <w:tc>
          <w:tcPr/>
          <w:p>
            <w:pPr>
              <w:pStyle w:val="Compact"/>
              <w:jc w:val="left"/>
            </w:pPr>
            <w:r>
              <w:t xml:space="preserve">Skill Gap</w:t>
            </w:r>
          </w:p>
        </w:tc>
        <w:tc>
          <w:tcPr/>
          <w:p>
            <w:pPr>
              <w:pStyle w:val="Compact"/>
              <w:jc w:val="left"/>
            </w:pPr>
            <w:r>
              <w:t xml:space="preserve">0.45</w:t>
            </w:r>
          </w:p>
        </w:tc>
      </w:tr>
      <w:tr>
        <w:tc>
          <w:tcPr/>
          <w:p>
            <w:pPr>
              <w:pStyle w:val="Compact"/>
              <w:jc w:val="left"/>
            </w:pPr>
            <w:r>
              <w:t xml:space="preserve">Critical Period</w:t>
            </w:r>
          </w:p>
        </w:tc>
        <w:tc>
          <w:tcPr/>
          <w:p>
            <w:pPr>
              <w:pStyle w:val="Compact"/>
              <w:jc w:val="left"/>
            </w:pPr>
            <w:r>
              <w:t xml:space="preserve">18 months</w:t>
            </w:r>
          </w:p>
        </w:tc>
      </w:tr>
      <w:tr>
        <w:tc>
          <w:tcPr/>
          <w:p>
            <w:pPr>
              <w:pStyle w:val="Compact"/>
              <w:jc w:val="left"/>
            </w:pPr>
            <w:r>
              <w:t xml:space="preserve">New Capabilities</w:t>
            </w:r>
          </w:p>
        </w:tc>
        <w:tc>
          <w:tcPr/>
          <w:p>
            <w:pPr>
              <w:pStyle w:val="Compact"/>
              <w:jc w:val="left"/>
            </w:pPr>
            <w:r>
              <w:t xml:space="preserve">AI campaign optimization, cross-channel AI coordination, algorithmic budget allocation</w:t>
            </w:r>
          </w:p>
        </w:tc>
      </w:tr>
    </w:tbl>
    <w:p>
      <w:pPr>
        <w:pStyle w:val="BodyText"/>
      </w:pPr>
      <w:r>
        <w:rPr>
          <w:iCs/>
          <w:i/>
        </w:rPr>
        <w:t xml:space="preserve">Analysis:</w:t>
      </w:r>
      <w:r>
        <w:t xml:space="preserve"> </w:t>
      </w:r>
      <w:r>
        <w:t xml:space="preserve">Campaign management evolves from manual planning and execution to orchestration of AI-driven systems. The AI Campaign Orchestrator sets strategic objectives, defines constraints and guardrails, monitors AI-driven execution, and intervenes when algorithmic optimization conflicts with brand or regulatory requirements.</w:t>
      </w:r>
    </w:p>
    <w:p>
      <w:pPr>
        <w:pStyle w:val="BodyText"/>
      </w:pPr>
      <w:r>
        <w:rPr>
          <w:iCs/>
          <w:i/>
        </w:rPr>
        <w:t xml:space="preserve">UBS-specific context:</w:t>
      </w:r>
      <w:r>
        <w:t xml:space="preserve"> </w:t>
      </w:r>
      <w:r>
        <w:t xml:space="preserve">Multi-market complexity (50+ countries with different regulatory requirements, cultural norms, and competitive landscapes) provides a natural buffer against full automation. AI can optimize within markets, but cross-market strategic allocation requires human judgment about regulatory risk, cultural sensitivity, and political dynamics.</w:t>
      </w:r>
    </w:p>
    <w:p>
      <w:pPr>
        <w:pStyle w:val="BodyText"/>
      </w:pPr>
      <w:r>
        <w:rPr>
          <w:bCs/>
          <w:b/>
        </w:rPr>
        <w:t xml:space="preserve">R3: Media Buyer → Algorithm Relationship Manager</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AI Replacement Risk</w:t>
            </w:r>
          </w:p>
        </w:tc>
        <w:tc>
          <w:tcPr/>
          <w:p>
            <w:pPr>
              <w:pStyle w:val="Compact"/>
              <w:jc w:val="left"/>
            </w:pPr>
            <w:r>
              <w:t xml:space="preserve">0.75 (high)</w:t>
            </w:r>
          </w:p>
        </w:tc>
      </w:tr>
      <w:tr>
        <w:tc>
          <w:tcPr/>
          <w:p>
            <w:pPr>
              <w:pStyle w:val="Compact"/>
              <w:jc w:val="left"/>
            </w:pPr>
            <w:r>
              <w:t xml:space="preserve">Transformation Type</w:t>
            </w:r>
          </w:p>
        </w:tc>
        <w:tc>
          <w:tcPr/>
          <w:p>
            <w:pPr>
              <w:pStyle w:val="Compact"/>
              <w:jc w:val="left"/>
            </w:pPr>
            <w:r>
              <w:t xml:space="preserve">Fundamental shift</w:t>
            </w:r>
          </w:p>
        </w:tc>
      </w:tr>
      <w:tr>
        <w:tc>
          <w:tcPr/>
          <w:p>
            <w:pPr>
              <w:pStyle w:val="Compact"/>
              <w:jc w:val="left"/>
            </w:pPr>
            <w:r>
              <w:t xml:space="preserve">Skill Gap</w:t>
            </w:r>
          </w:p>
        </w:tc>
        <w:tc>
          <w:tcPr/>
          <w:p>
            <w:pPr>
              <w:pStyle w:val="Compact"/>
              <w:jc w:val="left"/>
            </w:pPr>
            <w:r>
              <w:t xml:space="preserve">0.70</w:t>
            </w:r>
          </w:p>
        </w:tc>
      </w:tr>
      <w:tr>
        <w:tc>
          <w:tcPr/>
          <w:p>
            <w:pPr>
              <w:pStyle w:val="Compact"/>
              <w:jc w:val="left"/>
            </w:pPr>
            <w:r>
              <w:t xml:space="preserve">Critical Period</w:t>
            </w:r>
          </w:p>
        </w:tc>
        <w:tc>
          <w:tcPr/>
          <w:p>
            <w:pPr>
              <w:pStyle w:val="Compact"/>
              <w:jc w:val="left"/>
            </w:pPr>
            <w:r>
              <w:t xml:space="preserve">12 months</w:t>
            </w:r>
          </w:p>
        </w:tc>
      </w:tr>
      <w:tr>
        <w:tc>
          <w:tcPr/>
          <w:p>
            <w:pPr>
              <w:pStyle w:val="Compact"/>
              <w:jc w:val="left"/>
            </w:pPr>
            <w:r>
              <w:t xml:space="preserve">New Capabilities</w:t>
            </w:r>
          </w:p>
        </w:tc>
        <w:tc>
          <w:tcPr/>
          <w:p>
            <w:pPr>
              <w:pStyle w:val="Compact"/>
              <w:jc w:val="left"/>
            </w:pPr>
            <w:r>
              <w:t xml:space="preserve">Platform API management, algorithmic optimization, AI spend governance</w:t>
            </w:r>
          </w:p>
        </w:tc>
      </w:tr>
    </w:tbl>
    <w:p>
      <w:pPr>
        <w:pStyle w:val="BodyText"/>
      </w:pPr>
      <w:r>
        <w:rPr>
          <w:iCs/>
          <w:i/>
        </w:rPr>
        <w:t xml:space="preserve">Analysis:</w:t>
      </w:r>
      <w:r>
        <w:t xml:space="preserve"> </w:t>
      </w:r>
      <w:r>
        <w:t xml:space="preserve">This is the role facing the most radical transformation. Traditional media buying — negotiating rates, selecting placements, managing insertion orders — is already largely automated through programmatic platforms. The remaining human role shifts from</w:t>
      </w:r>
      <w:r>
        <w:t xml:space="preserve"> </w:t>
      </w:r>
      <w:r>
        <w:t xml:space="preserve">“</w:t>
      </w:r>
      <w:r>
        <w:t xml:space="preserve">buying media</w:t>
      </w:r>
      <w:r>
        <w:t xml:space="preserve">”</w:t>
      </w:r>
      <w:r>
        <w:t xml:space="preserve"> </w:t>
      </w:r>
      <w:r>
        <w:t xml:space="preserve">to</w:t>
      </w:r>
      <w:r>
        <w:t xml:space="preserve"> </w:t>
      </w:r>
      <w:r>
        <w:t xml:space="preserve">“</w:t>
      </w:r>
      <w:r>
        <w:t xml:space="preserve">managing relationships with algorithms.</w:t>
      </w:r>
      <w:r>
        <w:t xml:space="preserve">”</w:t>
      </w:r>
    </w:p>
    <w:p>
      <w:pPr>
        <w:pStyle w:val="BodyText"/>
      </w:pPr>
      <w:r>
        <w:t xml:space="preserve">The Algorithm Relationship Manager understands how platform algorithms work (Google Ads, Meta, TikTok, and increasingly AI assistant recommendation engines), optimizes UBS’s presence within these systems, negotiates data-sharing and targeting agreements, and governs AI-driven spend allocation.</w:t>
      </w:r>
    </w:p>
    <w:p>
      <w:pPr>
        <w:pStyle w:val="BodyText"/>
      </w:pPr>
      <w:r>
        <w:rPr>
          <w:iCs/>
          <w:i/>
        </w:rPr>
        <w:t xml:space="preserve">UBS-specific context:</w:t>
      </w:r>
      <w:r>
        <w:t xml:space="preserve"> </w:t>
      </w:r>
      <w:r>
        <w:t xml:space="preserve">This role becomes critical in Scenario S1 (BigTech Dominance), where the</w:t>
      </w:r>
      <w:r>
        <w:t xml:space="preserve"> </w:t>
      </w:r>
      <w:r>
        <w:t xml:space="preserve">“</w:t>
      </w:r>
      <w:r>
        <w:t xml:space="preserve">media</w:t>
      </w:r>
      <w:r>
        <w:t xml:space="preserve">”</w:t>
      </w:r>
      <w:r>
        <w:t xml:space="preserve"> </w:t>
      </w:r>
      <w:r>
        <w:t xml:space="preserve">is no longer ad space but AI recommendation inclusion. The skill set is radically different from traditional media buying.</w:t>
      </w:r>
    </w:p>
    <w:p>
      <w:pPr>
        <w:pStyle w:val="BodyText"/>
      </w:pPr>
      <w:r>
        <w:rPr>
          <w:bCs/>
          <w:b/>
        </w:rPr>
        <w:t xml:space="preserve">R4: Market Researcher → Behavioral Data Scientist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AI Replacement Risk</w:t>
            </w:r>
          </w:p>
        </w:tc>
        <w:tc>
          <w:tcPr/>
          <w:p>
            <w:pPr>
              <w:pStyle w:val="Compact"/>
              <w:jc w:val="left"/>
            </w:pPr>
            <w:r>
              <w:t xml:space="preserve">0.50 (moderate)</w:t>
            </w:r>
          </w:p>
        </w:tc>
      </w:tr>
      <w:tr>
        <w:tc>
          <w:tcPr/>
          <w:p>
            <w:pPr>
              <w:pStyle w:val="Compact"/>
              <w:jc w:val="left"/>
            </w:pPr>
            <w:r>
              <w:t xml:space="preserve">Transformation Type</w:t>
            </w:r>
          </w:p>
        </w:tc>
        <w:tc>
          <w:tcPr/>
          <w:p>
            <w:pPr>
              <w:pStyle w:val="Compact"/>
              <w:jc w:val="left"/>
            </w:pPr>
            <w:r>
              <w:t xml:space="preserve">Evolution</w:t>
            </w:r>
          </w:p>
        </w:tc>
      </w:tr>
      <w:tr>
        <w:tc>
          <w:tcPr/>
          <w:p>
            <w:pPr>
              <w:pStyle w:val="Compact"/>
              <w:jc w:val="left"/>
            </w:pPr>
            <w:r>
              <w:t xml:space="preserve">Skill Gap</w:t>
            </w:r>
          </w:p>
        </w:tc>
        <w:tc>
          <w:tcPr/>
          <w:p>
            <w:pPr>
              <w:pStyle w:val="Compact"/>
              <w:jc w:val="left"/>
            </w:pPr>
            <w:r>
              <w:t xml:space="preserve">0.50</w:t>
            </w:r>
          </w:p>
        </w:tc>
      </w:tr>
      <w:tr>
        <w:tc>
          <w:tcPr/>
          <w:p>
            <w:pPr>
              <w:pStyle w:val="Compact"/>
              <w:jc w:val="left"/>
            </w:pPr>
            <w:r>
              <w:t xml:space="preserve">Critical Period</w:t>
            </w:r>
          </w:p>
        </w:tc>
        <w:tc>
          <w:tcPr/>
          <w:p>
            <w:pPr>
              <w:pStyle w:val="Compact"/>
              <w:jc w:val="left"/>
            </w:pPr>
            <w:r>
              <w:t xml:space="preserve">24 months</w:t>
            </w:r>
          </w:p>
        </w:tc>
      </w:tr>
      <w:tr>
        <w:tc>
          <w:tcPr/>
          <w:p>
            <w:pPr>
              <w:pStyle w:val="Compact"/>
              <w:jc w:val="left"/>
            </w:pPr>
            <w:r>
              <w:t xml:space="preserve">New Capabilities</w:t>
            </w:r>
          </w:p>
        </w:tc>
        <w:tc>
          <w:tcPr/>
          <w:p>
            <w:pPr>
              <w:pStyle w:val="Compact"/>
              <w:jc w:val="left"/>
            </w:pPr>
            <w:r>
              <w:t xml:space="preserve">AI-powered survey design, behavioral analytics, real-time insight generation</w:t>
            </w:r>
          </w:p>
        </w:tc>
      </w:tr>
    </w:tbl>
    <w:p>
      <w:pPr>
        <w:pStyle w:val="BodyText"/>
      </w:pPr>
      <w:r>
        <w:rPr>
          <w:iCs/>
          <w:i/>
        </w:rPr>
        <w:t xml:space="preserve">Analysis:</w:t>
      </w:r>
      <w:r>
        <w:t xml:space="preserve"> </w:t>
      </w:r>
      <w:r>
        <w:t xml:space="preserve">Market research evolves from periodic study-based inquiry to continuous AI-powered insight generation. The Behavioral Data Scientist combines traditional research methodology with AI analytics capability — designing experiments, interpreting machine learning outputs, and translating behavioral patterns into strategic recommendations.</w:t>
      </w:r>
    </w:p>
    <w:p>
      <w:pPr>
        <w:pStyle w:val="BodyText"/>
      </w:pPr>
      <w:r>
        <w:rPr>
          <w:iCs/>
          <w:i/>
        </w:rPr>
        <w:t xml:space="preserve">UBS-specific context:</w:t>
      </w:r>
      <w:r>
        <w:t xml:space="preserve"> </w:t>
      </w:r>
      <w:r>
        <w:t xml:space="preserve">This role has exceptionally high value at UBS because of the data richness (USD 6.1 trillion AuM, 3.7 million clients). The intersection of behavioral economics expertise and AI analytics capability can unlock insights from this data that neither discipline alone could produce. This role directly enables F3 (Customer Intelligence), the highest-ranked function.</w:t>
      </w:r>
    </w:p>
    <w:p>
      <w:pPr>
        <w:pStyle w:val="BodyText"/>
      </w:pPr>
      <w:r>
        <w:rPr>
          <w:bCs/>
          <w:b/>
        </w:rPr>
        <w:t xml:space="preserve">R5: Brand Manager → AI Brand Steward</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AI Replacement Risk</w:t>
            </w:r>
          </w:p>
        </w:tc>
        <w:tc>
          <w:tcPr/>
          <w:p>
            <w:pPr>
              <w:pStyle w:val="Compact"/>
              <w:jc w:val="left"/>
            </w:pPr>
            <w:r>
              <w:t xml:space="preserve">0.20 (low)</w:t>
            </w:r>
          </w:p>
        </w:tc>
      </w:tr>
      <w:tr>
        <w:tc>
          <w:tcPr/>
          <w:p>
            <w:pPr>
              <w:pStyle w:val="Compact"/>
              <w:jc w:val="left"/>
            </w:pPr>
            <w:r>
              <w:t xml:space="preserve">Transformation Type</w:t>
            </w:r>
          </w:p>
        </w:tc>
        <w:tc>
          <w:tcPr/>
          <w:p>
            <w:pPr>
              <w:pStyle w:val="Compact"/>
              <w:jc w:val="left"/>
            </w:pPr>
            <w:r>
              <w:t xml:space="preserve">Extension</w:t>
            </w:r>
          </w:p>
        </w:tc>
      </w:tr>
      <w:tr>
        <w:tc>
          <w:tcPr/>
          <w:p>
            <w:pPr>
              <w:pStyle w:val="Compact"/>
              <w:jc w:val="left"/>
            </w:pPr>
            <w:r>
              <w:t xml:space="preserve">Skill Gap</w:t>
            </w:r>
          </w:p>
        </w:tc>
        <w:tc>
          <w:tcPr/>
          <w:p>
            <w:pPr>
              <w:pStyle w:val="Compact"/>
              <w:jc w:val="left"/>
            </w:pPr>
            <w:r>
              <w:t xml:space="preserve">0.35</w:t>
            </w:r>
          </w:p>
        </w:tc>
      </w:tr>
      <w:tr>
        <w:tc>
          <w:tcPr/>
          <w:p>
            <w:pPr>
              <w:pStyle w:val="Compact"/>
              <w:jc w:val="left"/>
            </w:pPr>
            <w:r>
              <w:t xml:space="preserve">Critical Period</w:t>
            </w:r>
          </w:p>
        </w:tc>
        <w:tc>
          <w:tcPr/>
          <w:p>
            <w:pPr>
              <w:pStyle w:val="Compact"/>
              <w:jc w:val="left"/>
            </w:pPr>
            <w:r>
              <w:t xml:space="preserve">18 months</w:t>
            </w:r>
          </w:p>
        </w:tc>
      </w:tr>
      <w:tr>
        <w:tc>
          <w:tcPr/>
          <w:p>
            <w:pPr>
              <w:pStyle w:val="Compact"/>
              <w:jc w:val="left"/>
            </w:pPr>
            <w:r>
              <w:t xml:space="preserve">New Capabilities</w:t>
            </w:r>
          </w:p>
        </w:tc>
        <w:tc>
          <w:tcPr/>
          <w:p>
            <w:pPr>
              <w:pStyle w:val="Compact"/>
              <w:jc w:val="left"/>
            </w:pPr>
            <w:r>
              <w:t xml:space="preserve">AI brand voice governance, algorithm brand presence, AI ethics oversight</w:t>
            </w:r>
          </w:p>
        </w:tc>
      </w:tr>
    </w:tbl>
    <w:p>
      <w:pPr>
        <w:pStyle w:val="BodyText"/>
      </w:pPr>
      <w:r>
        <w:rPr>
          <w:iCs/>
          <w:i/>
        </w:rPr>
        <w:t xml:space="preserve">Analysis:</w:t>
      </w:r>
      <w:r>
        <w:t xml:space="preserve"> </w:t>
      </w:r>
      <w:r>
        <w:t xml:space="preserve">Brand management is the role LEAST at risk from AI replacement because brand stewardship requires judgment about identity, values, and emotional resonance that AI cannot replicate. However, the scope expands significantly: the AI Brand Steward must now govern how the brand appears in AI-generated content, AI assistant recommendations, and algorithmic curation.</w:t>
      </w:r>
    </w:p>
    <w:p>
      <w:pPr>
        <w:pStyle w:val="BodyText"/>
      </w:pPr>
      <w:r>
        <w:rPr>
          <w:iCs/>
          <w:i/>
        </w:rPr>
        <w:t xml:space="preserve">UBS-specific context:</w:t>
      </w:r>
      <w:r>
        <w:t xml:space="preserve"> </w:t>
      </w:r>
      <w:r>
        <w:t xml:space="preserve">Post-CS brand rebuilding makes this role critically important. The UBS brand must absorb a million ex-CS clients while maintaining its premium positioning. AI can amplify brand signals but requires careful governance to avoid brand dilution or mixed messaging.</w:t>
      </w:r>
    </w:p>
    <w:p>
      <w:pPr>
        <w:pStyle w:val="BodyText"/>
      </w:pPr>
      <w:r>
        <w:rPr>
          <w:bCs/>
          <w:b/>
        </w:rPr>
        <w:t xml:space="preserve">R6: Performance Marketer → AI Performance Architect</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Dimension</w:t>
            </w:r>
          </w:p>
        </w:tc>
        <w:tc>
          <w:tcPr/>
          <w:p>
            <w:pPr>
              <w:pStyle w:val="Compact"/>
              <w:jc w:val="left"/>
            </w:pPr>
            <w:r>
              <w:t xml:space="preserve">Assessment</w:t>
            </w:r>
          </w:p>
        </w:tc>
      </w:tr>
      <w:tr>
        <w:tc>
          <w:tcPr/>
          <w:p>
            <w:pPr>
              <w:pStyle w:val="Compact"/>
              <w:jc w:val="left"/>
            </w:pPr>
            <w:r>
              <w:t xml:space="preserve">AI Replacement Risk</w:t>
            </w:r>
          </w:p>
        </w:tc>
        <w:tc>
          <w:tcPr/>
          <w:p>
            <w:pPr>
              <w:pStyle w:val="Compact"/>
              <w:jc w:val="left"/>
            </w:pPr>
            <w:r>
              <w:t xml:space="preserve">0.55 (moderate)</w:t>
            </w:r>
          </w:p>
        </w:tc>
      </w:tr>
      <w:tr>
        <w:tc>
          <w:tcPr/>
          <w:p>
            <w:pPr>
              <w:pStyle w:val="Compact"/>
              <w:jc w:val="left"/>
            </w:pPr>
            <w:r>
              <w:t xml:space="preserve">Transformation Type</w:t>
            </w:r>
          </w:p>
        </w:tc>
        <w:tc>
          <w:tcPr/>
          <w:p>
            <w:pPr>
              <w:pStyle w:val="Compact"/>
              <w:jc w:val="left"/>
            </w:pPr>
            <w:r>
              <w:t xml:space="preserve">Augmentation</w:t>
            </w:r>
          </w:p>
        </w:tc>
      </w:tr>
      <w:tr>
        <w:tc>
          <w:tcPr/>
          <w:p>
            <w:pPr>
              <w:pStyle w:val="Compact"/>
              <w:jc w:val="left"/>
            </w:pPr>
            <w:r>
              <w:t xml:space="preserve">Skill Gap</w:t>
            </w:r>
          </w:p>
        </w:tc>
        <w:tc>
          <w:tcPr/>
          <w:p>
            <w:pPr>
              <w:pStyle w:val="Compact"/>
              <w:jc w:val="left"/>
            </w:pPr>
            <w:r>
              <w:t xml:space="preserve">0.40</w:t>
            </w:r>
          </w:p>
        </w:tc>
      </w:tr>
      <w:tr>
        <w:tc>
          <w:tcPr/>
          <w:p>
            <w:pPr>
              <w:pStyle w:val="Compact"/>
              <w:jc w:val="left"/>
            </w:pPr>
            <w:r>
              <w:t xml:space="preserve">Critical Period</w:t>
            </w:r>
          </w:p>
        </w:tc>
        <w:tc>
          <w:tcPr/>
          <w:p>
            <w:pPr>
              <w:pStyle w:val="Compact"/>
              <w:jc w:val="left"/>
            </w:pPr>
            <w:r>
              <w:t xml:space="preserve">12 months</w:t>
            </w:r>
          </w:p>
        </w:tc>
      </w:tr>
      <w:tr>
        <w:tc>
          <w:tcPr/>
          <w:p>
            <w:pPr>
              <w:pStyle w:val="Compact"/>
              <w:jc w:val="left"/>
            </w:pPr>
            <w:r>
              <w:t xml:space="preserve">New Capabilities</w:t>
            </w:r>
          </w:p>
        </w:tc>
        <w:tc>
          <w:tcPr/>
          <w:p>
            <w:pPr>
              <w:pStyle w:val="Compact"/>
              <w:jc w:val="left"/>
            </w:pPr>
            <w:r>
              <w:t xml:space="preserve">AI testing frameworks, predictive performance models, attribution AI</w:t>
            </w:r>
          </w:p>
        </w:tc>
      </w:tr>
    </w:tbl>
    <w:p>
      <w:pPr>
        <w:pStyle w:val="BodyText"/>
      </w:pPr>
      <w:r>
        <w:rPr>
          <w:iCs/>
          <w:i/>
        </w:rPr>
        <w:t xml:space="preserve">Analysis:</w:t>
      </w:r>
      <w:r>
        <w:t xml:space="preserve"> </w:t>
      </w:r>
      <w:r>
        <w:t xml:space="preserve">Performance marketing shifts from tactical execution to architectural design — building and maintaining the AI-powered testing, optimization, and attribution infrastructure. The AI Performance Architect designs the testing framework, sets optimization objectives and constraints, and interprets AI-driven attribution results.</w:t>
      </w:r>
    </w:p>
    <w:p>
      <w:pPr>
        <w:pStyle w:val="BodyText"/>
      </w:pPr>
      <w:r>
        <w:rPr>
          <w:iCs/>
          <w:i/>
        </w:rPr>
        <w:t xml:space="preserve">UBS-specific context:</w:t>
      </w:r>
      <w:r>
        <w:t xml:space="preserve"> </w:t>
      </w:r>
      <w:r>
        <w:t xml:space="preserve">Wealth management’s long sales cycles (months to years) challenge standard performance marketing approaches. The AI Performance Architect must design measurement frameworks appropriate for long-cycle, relationship-driven business.</w:t>
      </w:r>
    </w:p>
    <w:bookmarkEnd w:id="84"/>
    <w:bookmarkStart w:id="85" w:name="emerging-roles"/>
    <w:p>
      <w:pPr>
        <w:pStyle w:val="Heading3"/>
      </w:pPr>
      <w:r>
        <w:t xml:space="preserve">5.1.3 Emerging Roles</w:t>
      </w:r>
    </w:p>
    <w:p>
      <w:pPr>
        <w:pStyle w:val="FirstParagraph"/>
      </w:pPr>
      <w:r>
        <w:t xml:space="preserve">Three entirely new roles must be created:</w:t>
      </w:r>
    </w:p>
    <w:tbl>
      <w:tblPr>
        <w:tblStyle w:val="Table"/>
        <w:tblW w:type="pct" w:w="5000"/>
        <w:tblLook w:firstRow="1" w:lastRow="0" w:firstColumn="0" w:lastColumn="0" w:noHBand="0" w:noVBand="0" w:val="0020"/>
        <w:jc w:val="start"/>
      </w:tblPr>
      <w:tblGrid>
        <w:gridCol w:w="1827"/>
        <w:gridCol w:w="2741"/>
        <w:gridCol w:w="3350"/>
      </w:tblGrid>
      <w:tr>
        <w:trPr>
          <w:tblHeader w:val="true"/>
        </w:trPr>
        <w:tc>
          <w:tcPr/>
          <w:p>
            <w:pPr>
              <w:pStyle w:val="Compact"/>
              <w:jc w:val="left"/>
            </w:pPr>
            <w:r>
              <w:t xml:space="preserve">Role</w:t>
            </w:r>
          </w:p>
        </w:tc>
        <w:tc>
          <w:tcPr/>
          <w:p>
            <w:pPr>
              <w:pStyle w:val="Compact"/>
              <w:jc w:val="left"/>
            </w:pPr>
            <w:r>
              <w:t xml:space="preserve">Urgency</w:t>
            </w:r>
          </w:p>
        </w:tc>
        <w:tc>
          <w:tcPr/>
          <w:p>
            <w:pPr>
              <w:pStyle w:val="Compact"/>
              <w:jc w:val="left"/>
            </w:pPr>
            <w:r>
              <w:t xml:space="preserve">Rationale</w:t>
            </w:r>
          </w:p>
        </w:tc>
      </w:tr>
      <w:tr>
        <w:tc>
          <w:tcPr/>
          <w:p>
            <w:pPr>
              <w:pStyle w:val="Compact"/>
              <w:jc w:val="left"/>
            </w:pPr>
            <w:r>
              <w:rPr>
                <w:bCs/>
                <w:b/>
              </w:rPr>
              <w:t xml:space="preserve">AI Marketing Ethics Officer</w:t>
            </w:r>
          </w:p>
        </w:tc>
        <w:tc>
          <w:tcPr/>
          <w:p>
            <w:pPr>
              <w:pStyle w:val="Compact"/>
              <w:jc w:val="left"/>
            </w:pPr>
            <w:r>
              <w:t xml:space="preserve">Immediate</w:t>
            </w:r>
          </w:p>
        </w:tc>
        <w:tc>
          <w:tcPr/>
          <w:p>
            <w:pPr>
              <w:pStyle w:val="Compact"/>
              <w:jc w:val="left"/>
            </w:pPr>
            <w:r>
              <w:t xml:space="preserve">FINMA compliance + reputational risk. Must be in place before scaling any customer-facing AI.</w:t>
            </w:r>
          </w:p>
        </w:tc>
      </w:tr>
      <w:tr>
        <w:tc>
          <w:tcPr/>
          <w:p>
            <w:pPr>
              <w:pStyle w:val="Compact"/>
              <w:jc w:val="left"/>
            </w:pPr>
            <w:r>
              <w:rPr>
                <w:bCs/>
                <w:b/>
              </w:rPr>
              <w:t xml:space="preserve">AI Platform Liaison</w:t>
            </w:r>
          </w:p>
        </w:tc>
        <w:tc>
          <w:tcPr/>
          <w:p>
            <w:pPr>
              <w:pStyle w:val="Compact"/>
              <w:jc w:val="left"/>
            </w:pPr>
            <w:r>
              <w:t xml:space="preserve">12 months</w:t>
            </w:r>
          </w:p>
        </w:tc>
        <w:tc>
          <w:tcPr/>
          <w:p>
            <w:pPr>
              <w:pStyle w:val="Compact"/>
              <w:jc w:val="left"/>
            </w:pPr>
            <w:r>
              <w:t xml:space="preserve">Managing UBS’s presence in ChatGPT, Gemini, Copilot financial recommendations. Critical for F5.</w:t>
            </w:r>
          </w:p>
        </w:tc>
      </w:tr>
      <w:tr>
        <w:tc>
          <w:tcPr/>
          <w:p>
            <w:pPr>
              <w:pStyle w:val="Compact"/>
              <w:jc w:val="left"/>
            </w:pPr>
            <w:r>
              <w:rPr>
                <w:bCs/>
                <w:b/>
              </w:rPr>
              <w:t xml:space="preserve">Behavioral AI Designer</w:t>
            </w:r>
          </w:p>
        </w:tc>
        <w:tc>
          <w:tcPr/>
          <w:p>
            <w:pPr>
              <w:pStyle w:val="Compact"/>
              <w:jc w:val="left"/>
            </w:pPr>
            <w:r>
              <w:t xml:space="preserve">12 months</w:t>
            </w:r>
          </w:p>
        </w:tc>
        <w:tc>
          <w:tcPr/>
          <w:p>
            <w:pPr>
              <w:pStyle w:val="Compact"/>
              <w:jc w:val="left"/>
            </w:pPr>
            <w:r>
              <w:t xml:space="preserve">Designing AI interactions using behavioral economics principles — ensuring AI nudges are ethical, effective, and compliant.</w:t>
            </w:r>
          </w:p>
        </w:tc>
      </w:tr>
    </w:tbl>
    <w:bookmarkEnd w:id="85"/>
    <w:bookmarkEnd w:id="86"/>
    <w:bookmarkStart w:id="90" w:name="part-b-skill-requirements-analysis"/>
    <w:p>
      <w:pPr>
        <w:pStyle w:val="Heading2"/>
      </w:pPr>
      <w:r>
        <w:t xml:space="preserve">5.2 Part B: Skill Requirements Analysis</w:t>
      </w:r>
    </w:p>
    <w:bookmarkStart w:id="87" w:name="skill-matrix-by-scenario"/>
    <w:p>
      <w:pPr>
        <w:pStyle w:val="Heading3"/>
      </w:pPr>
      <w:r>
        <w:t xml:space="preserve">5.2.1 Skill Matrix by Scenario</w:t>
      </w:r>
    </w:p>
    <w:tbl>
      <w:tblPr>
        <w:tblStyle w:val="Table"/>
        <w:tblW w:type="pct" w:w="5000"/>
        <w:tblLook w:firstRow="1" w:lastRow="0" w:firstColumn="0" w:lastColumn="0" w:noHBand="0" w:noVBand="0" w:val="0020"/>
        <w:jc w:val="start"/>
      </w:tblPr>
      <w:tblGrid>
        <w:gridCol w:w="1650"/>
        <w:gridCol w:w="1320"/>
        <w:gridCol w:w="1210"/>
        <w:gridCol w:w="1100"/>
        <w:gridCol w:w="2640"/>
      </w:tblGrid>
      <w:tr>
        <w:trPr>
          <w:tblHeader w:val="true"/>
        </w:trPr>
        <w:tc>
          <w:tcPr/>
          <w:p>
            <w:pPr>
              <w:pStyle w:val="Compact"/>
              <w:jc w:val="left"/>
            </w:pPr>
            <w:r>
              <w:t xml:space="preserve">Skill Category</w:t>
            </w:r>
          </w:p>
        </w:tc>
        <w:tc>
          <w:tcPr/>
          <w:p>
            <w:pPr>
              <w:pStyle w:val="Compact"/>
              <w:jc w:val="left"/>
            </w:pPr>
            <w:r>
              <w:t xml:space="preserve">S1 BigTech</w:t>
            </w:r>
          </w:p>
        </w:tc>
        <w:tc>
          <w:tcPr/>
          <w:p>
            <w:pPr>
              <w:pStyle w:val="Compact"/>
              <w:jc w:val="left"/>
            </w:pPr>
            <w:r>
              <w:t xml:space="preserve">S2 Hybrid</w:t>
            </w:r>
          </w:p>
        </w:tc>
        <w:tc>
          <w:tcPr/>
          <w:p>
            <w:pPr>
              <w:pStyle w:val="Compact"/>
              <w:jc w:val="left"/>
            </w:pPr>
            <w:r>
              <w:t xml:space="preserve">S3 Trust</w:t>
            </w:r>
          </w:p>
        </w:tc>
        <w:tc>
          <w:tcPr/>
          <w:p>
            <w:pPr>
              <w:pStyle w:val="Compact"/>
              <w:jc w:val="left"/>
            </w:pPr>
            <w:r>
              <w:t xml:space="preserve">Cross-Scenario Priority</w:t>
            </w:r>
          </w:p>
        </w:tc>
      </w:tr>
      <w:tr>
        <w:tc>
          <w:tcPr/>
          <w:p>
            <w:pPr>
              <w:pStyle w:val="Compact"/>
              <w:jc w:val="left"/>
            </w:pPr>
            <w:r>
              <w:rPr>
                <w:bCs/>
                <w:b/>
              </w:rPr>
              <w:t xml:space="preserve">AI Literacy (Basic)</w:t>
            </w:r>
          </w:p>
        </w:tc>
        <w:tc>
          <w:tcPr/>
          <w:p>
            <w:pPr>
              <w:pStyle w:val="Compact"/>
              <w:jc w:val="left"/>
            </w:pPr>
            <w:r>
              <w:t xml:space="preserve">Essential</w:t>
            </w:r>
          </w:p>
        </w:tc>
        <w:tc>
          <w:tcPr/>
          <w:p>
            <w:pPr>
              <w:pStyle w:val="Compact"/>
              <w:jc w:val="left"/>
            </w:pPr>
            <w:r>
              <w:t xml:space="preserve">Essential</w:t>
            </w:r>
          </w:p>
        </w:tc>
        <w:tc>
          <w:tcPr/>
          <w:p>
            <w:pPr>
              <w:pStyle w:val="Compact"/>
              <w:jc w:val="left"/>
            </w:pPr>
            <w:r>
              <w:t xml:space="preserve">Important</w:t>
            </w:r>
          </w:p>
        </w:tc>
        <w:tc>
          <w:tcPr/>
          <w:p>
            <w:pPr>
              <w:pStyle w:val="Compact"/>
              <w:jc w:val="left"/>
            </w:pPr>
            <w:r>
              <w:rPr>
                <w:bCs/>
                <w:b/>
              </w:rPr>
              <w:t xml:space="preserve">Highest</w:t>
            </w:r>
          </w:p>
        </w:tc>
      </w:tr>
      <w:tr>
        <w:tc>
          <w:tcPr/>
          <w:p>
            <w:pPr>
              <w:pStyle w:val="Compact"/>
              <w:jc w:val="left"/>
            </w:pPr>
            <w:r>
              <w:rPr>
                <w:bCs/>
                <w:b/>
              </w:rPr>
              <w:t xml:space="preserve">Data &amp; Analytics</w:t>
            </w:r>
          </w:p>
        </w:tc>
        <w:tc>
          <w:tcPr/>
          <w:p>
            <w:pPr>
              <w:pStyle w:val="Compact"/>
              <w:jc w:val="left"/>
            </w:pPr>
            <w:r>
              <w:t xml:space="preserve">Essential</w:t>
            </w:r>
          </w:p>
        </w:tc>
        <w:tc>
          <w:tcPr/>
          <w:p>
            <w:pPr>
              <w:pStyle w:val="Compact"/>
              <w:jc w:val="left"/>
            </w:pPr>
            <w:r>
              <w:t xml:space="preserve">Essential</w:t>
            </w:r>
          </w:p>
        </w:tc>
        <w:tc>
          <w:tcPr/>
          <w:p>
            <w:pPr>
              <w:pStyle w:val="Compact"/>
              <w:jc w:val="left"/>
            </w:pPr>
            <w:r>
              <w:t xml:space="preserve">Important</w:t>
            </w:r>
          </w:p>
        </w:tc>
        <w:tc>
          <w:tcPr/>
          <w:p>
            <w:pPr>
              <w:pStyle w:val="Compact"/>
              <w:jc w:val="left"/>
            </w:pPr>
            <w:r>
              <w:rPr>
                <w:bCs/>
                <w:b/>
              </w:rPr>
              <w:t xml:space="preserve">Very High</w:t>
            </w:r>
          </w:p>
        </w:tc>
      </w:tr>
      <w:tr>
        <w:tc>
          <w:tcPr/>
          <w:p>
            <w:pPr>
              <w:pStyle w:val="Compact"/>
              <w:jc w:val="left"/>
            </w:pPr>
            <w:r>
              <w:t xml:space="preserve">AI Tool Proficiency</w:t>
            </w:r>
          </w:p>
        </w:tc>
        <w:tc>
          <w:tcPr/>
          <w:p>
            <w:pPr>
              <w:pStyle w:val="Compact"/>
              <w:jc w:val="left"/>
            </w:pPr>
            <w:r>
              <w:t xml:space="preserve">Essential</w:t>
            </w:r>
          </w:p>
        </w:tc>
        <w:tc>
          <w:tcPr/>
          <w:p>
            <w:pPr>
              <w:pStyle w:val="Compact"/>
              <w:jc w:val="left"/>
            </w:pPr>
            <w:r>
              <w:t xml:space="preserve">Essential</w:t>
            </w:r>
          </w:p>
        </w:tc>
        <w:tc>
          <w:tcPr/>
          <w:p>
            <w:pPr>
              <w:pStyle w:val="Compact"/>
              <w:jc w:val="left"/>
            </w:pPr>
            <w:r>
              <w:t xml:space="preserve">Moderate</w:t>
            </w:r>
          </w:p>
        </w:tc>
        <w:tc>
          <w:tcPr/>
          <w:p>
            <w:pPr>
              <w:pStyle w:val="Compact"/>
              <w:jc w:val="left"/>
            </w:pPr>
            <w:r>
              <w:t xml:space="preserve">High</w:t>
            </w:r>
          </w:p>
        </w:tc>
      </w:tr>
      <w:tr>
        <w:tc>
          <w:tcPr/>
          <w:p>
            <w:pPr>
              <w:pStyle w:val="Compact"/>
              <w:jc w:val="left"/>
            </w:pPr>
            <w:r>
              <w:t xml:space="preserve">Strategic Marketing</w:t>
            </w:r>
          </w:p>
        </w:tc>
        <w:tc>
          <w:tcPr/>
          <w:p>
            <w:pPr>
              <w:pStyle w:val="Compact"/>
              <w:jc w:val="left"/>
            </w:pPr>
            <w:r>
              <w:t xml:space="preserve">Important</w:t>
            </w:r>
          </w:p>
        </w:tc>
        <w:tc>
          <w:tcPr/>
          <w:p>
            <w:pPr>
              <w:pStyle w:val="Compact"/>
              <w:jc w:val="left"/>
            </w:pPr>
            <w:r>
              <w:t xml:space="preserve">Essential</w:t>
            </w:r>
          </w:p>
        </w:tc>
        <w:tc>
          <w:tcPr/>
          <w:p>
            <w:pPr>
              <w:pStyle w:val="Compact"/>
              <w:jc w:val="left"/>
            </w:pPr>
            <w:r>
              <w:t xml:space="preserve">Essential</w:t>
            </w:r>
          </w:p>
        </w:tc>
        <w:tc>
          <w:tcPr/>
          <w:p>
            <w:pPr>
              <w:pStyle w:val="Compact"/>
              <w:jc w:val="left"/>
            </w:pPr>
            <w:r>
              <w:t xml:space="preserve">High</w:t>
            </w:r>
          </w:p>
        </w:tc>
      </w:tr>
      <w:tr>
        <w:tc>
          <w:tcPr/>
          <w:p>
            <w:pPr>
              <w:pStyle w:val="Compact"/>
              <w:jc w:val="left"/>
            </w:pPr>
            <w:r>
              <w:t xml:space="preserve">Human-AI Collaboration</w:t>
            </w:r>
          </w:p>
        </w:tc>
        <w:tc>
          <w:tcPr/>
          <w:p>
            <w:pPr>
              <w:pStyle w:val="Compact"/>
              <w:jc w:val="left"/>
            </w:pPr>
            <w:r>
              <w:t xml:space="preserve">Essential</w:t>
            </w:r>
          </w:p>
        </w:tc>
        <w:tc>
          <w:tcPr/>
          <w:p>
            <w:pPr>
              <w:pStyle w:val="Compact"/>
              <w:jc w:val="left"/>
            </w:pPr>
            <w:r>
              <w:t xml:space="preserve">Essential</w:t>
            </w:r>
          </w:p>
        </w:tc>
        <w:tc>
          <w:tcPr/>
          <w:p>
            <w:pPr>
              <w:pStyle w:val="Compact"/>
              <w:jc w:val="left"/>
            </w:pPr>
            <w:r>
              <w:t xml:space="preserve">Moderate</w:t>
            </w:r>
          </w:p>
        </w:tc>
        <w:tc>
          <w:tcPr/>
          <w:p>
            <w:pPr>
              <w:pStyle w:val="Compact"/>
              <w:jc w:val="left"/>
            </w:pPr>
            <w:r>
              <w:t xml:space="preserve">High</w:t>
            </w:r>
          </w:p>
        </w:tc>
      </w:tr>
      <w:tr>
        <w:tc>
          <w:tcPr/>
          <w:p>
            <w:pPr>
              <w:pStyle w:val="Compact"/>
              <w:jc w:val="left"/>
            </w:pPr>
            <w:r>
              <w:t xml:space="preserve">Creative Direction</w:t>
            </w:r>
          </w:p>
        </w:tc>
        <w:tc>
          <w:tcPr/>
          <w:p>
            <w:pPr>
              <w:pStyle w:val="Compact"/>
              <w:jc w:val="left"/>
            </w:pPr>
            <w:r>
              <w:t xml:space="preserve">Moderate</w:t>
            </w:r>
          </w:p>
        </w:tc>
        <w:tc>
          <w:tcPr/>
          <w:p>
            <w:pPr>
              <w:pStyle w:val="Compact"/>
              <w:jc w:val="left"/>
            </w:pPr>
            <w:r>
              <w:t xml:space="preserve">Important</w:t>
            </w:r>
          </w:p>
        </w:tc>
        <w:tc>
          <w:tcPr/>
          <w:p>
            <w:pPr>
              <w:pStyle w:val="Compact"/>
              <w:jc w:val="left"/>
            </w:pPr>
            <w:r>
              <w:t xml:space="preserve">Essential</w:t>
            </w:r>
          </w:p>
        </w:tc>
        <w:tc>
          <w:tcPr/>
          <w:p>
            <w:pPr>
              <w:pStyle w:val="Compact"/>
              <w:jc w:val="left"/>
            </w:pPr>
            <w:r>
              <w:t xml:space="preserve">Moderate</w:t>
            </w:r>
          </w:p>
        </w:tc>
      </w:tr>
      <w:tr>
        <w:tc>
          <w:tcPr/>
          <w:p>
            <w:pPr>
              <w:pStyle w:val="Compact"/>
              <w:jc w:val="left"/>
            </w:pPr>
            <w:r>
              <w:t xml:space="preserve">Compliance &amp; Ethics</w:t>
            </w:r>
          </w:p>
        </w:tc>
        <w:tc>
          <w:tcPr/>
          <w:p>
            <w:pPr>
              <w:pStyle w:val="Compact"/>
              <w:jc w:val="left"/>
            </w:pPr>
            <w:r>
              <w:t xml:space="preserve">Important</w:t>
            </w:r>
          </w:p>
        </w:tc>
        <w:tc>
          <w:tcPr/>
          <w:p>
            <w:pPr>
              <w:pStyle w:val="Compact"/>
              <w:jc w:val="left"/>
            </w:pPr>
            <w:r>
              <w:t xml:space="preserve">Essential</w:t>
            </w:r>
          </w:p>
        </w:tc>
        <w:tc>
          <w:tcPr/>
          <w:p>
            <w:pPr>
              <w:pStyle w:val="Compact"/>
              <w:jc w:val="left"/>
            </w:pPr>
            <w:r>
              <w:t xml:space="preserve">Essential</w:t>
            </w:r>
          </w:p>
        </w:tc>
        <w:tc>
          <w:tcPr/>
          <w:p>
            <w:pPr>
              <w:pStyle w:val="Compact"/>
              <w:jc w:val="left"/>
            </w:pPr>
            <w:r>
              <w:t xml:space="preserve">High</w:t>
            </w:r>
          </w:p>
        </w:tc>
      </w:tr>
      <w:tr>
        <w:tc>
          <w:tcPr/>
          <w:p>
            <w:pPr>
              <w:pStyle w:val="Compact"/>
              <w:jc w:val="left"/>
            </w:pPr>
            <w:r>
              <w:t xml:space="preserve">Platform/API Management</w:t>
            </w:r>
          </w:p>
        </w:tc>
        <w:tc>
          <w:tcPr/>
          <w:p>
            <w:pPr>
              <w:pStyle w:val="Compact"/>
              <w:jc w:val="left"/>
            </w:pPr>
            <w:r>
              <w:t xml:space="preserve">Essential</w:t>
            </w:r>
          </w:p>
        </w:tc>
        <w:tc>
          <w:tcPr/>
          <w:p>
            <w:pPr>
              <w:pStyle w:val="Compact"/>
              <w:jc w:val="left"/>
            </w:pPr>
            <w:r>
              <w:t xml:space="preserve">Important</w:t>
            </w:r>
          </w:p>
        </w:tc>
        <w:tc>
          <w:tcPr/>
          <w:p>
            <w:pPr>
              <w:pStyle w:val="Compact"/>
              <w:jc w:val="left"/>
            </w:pPr>
            <w:r>
              <w:t xml:space="preserve">Low</w:t>
            </w:r>
          </w:p>
        </w:tc>
        <w:tc>
          <w:tcPr/>
          <w:p>
            <w:pPr>
              <w:pStyle w:val="Compact"/>
              <w:jc w:val="left"/>
            </w:pPr>
            <w:r>
              <w:t xml:space="preserve">Scenario-dependent</w:t>
            </w:r>
          </w:p>
        </w:tc>
      </w:tr>
      <w:tr>
        <w:tc>
          <w:tcPr/>
          <w:p>
            <w:pPr>
              <w:pStyle w:val="Compact"/>
              <w:jc w:val="left"/>
            </w:pPr>
            <w:r>
              <w:t xml:space="preserve">Relationship Management</w:t>
            </w:r>
          </w:p>
        </w:tc>
        <w:tc>
          <w:tcPr/>
          <w:p>
            <w:pPr>
              <w:pStyle w:val="Compact"/>
              <w:jc w:val="left"/>
            </w:pPr>
            <w:r>
              <w:t xml:space="preserve">Low</w:t>
            </w:r>
          </w:p>
        </w:tc>
        <w:tc>
          <w:tcPr/>
          <w:p>
            <w:pPr>
              <w:pStyle w:val="Compact"/>
              <w:jc w:val="left"/>
            </w:pPr>
            <w:r>
              <w:t xml:space="preserve">Important</w:t>
            </w:r>
          </w:p>
        </w:tc>
        <w:tc>
          <w:tcPr/>
          <w:p>
            <w:pPr>
              <w:pStyle w:val="Compact"/>
              <w:jc w:val="left"/>
            </w:pPr>
            <w:r>
              <w:t xml:space="preserve">Essential</w:t>
            </w:r>
          </w:p>
        </w:tc>
        <w:tc>
          <w:tcPr/>
          <w:p>
            <w:pPr>
              <w:pStyle w:val="Compact"/>
              <w:jc w:val="left"/>
            </w:pPr>
            <w:r>
              <w:t xml:space="preserve">Scenario-dependent</w:t>
            </w:r>
          </w:p>
        </w:tc>
      </w:tr>
    </w:tbl>
    <w:bookmarkEnd w:id="87"/>
    <w:bookmarkStart w:id="88" w:name="ai-literacy-requirements"/>
    <w:p>
      <w:pPr>
        <w:pStyle w:val="Heading3"/>
      </w:pPr>
      <w:r>
        <w:t xml:space="preserve">5.2.2 AI Literacy Requirements</w:t>
      </w:r>
    </w:p>
    <w:p>
      <w:pPr>
        <w:pStyle w:val="FirstParagraph"/>
      </w:pPr>
      <w:r>
        <w:rPr>
          <w:bCs/>
          <w:b/>
        </w:rPr>
        <w:t xml:space="preserve">Universal baseline (all marketing staff):</w:t>
      </w:r>
      <w:r>
        <w:t xml:space="preserve"> </w:t>
      </w:r>
      <w:r>
        <w:t xml:space="preserve">- Understanding of what AI can and cannot do in marketing</w:t>
      </w:r>
      <w:r>
        <w:t xml:space="preserve"> </w:t>
      </w:r>
      <w:r>
        <w:t xml:space="preserve">- Ability to use AI tools for daily tasks (content drafting, data analysis, campaign optimization)</w:t>
      </w:r>
      <w:r>
        <w:t xml:space="preserve"> </w:t>
      </w:r>
      <w:r>
        <w:t xml:space="preserve">- Awareness of AI ethics, bias, and compliance considerations</w:t>
      </w:r>
      <w:r>
        <w:t xml:space="preserve"> </w:t>
      </w:r>
      <w:r>
        <w:t xml:space="preserve">- Ability to critically evaluate AI outputs</w:t>
      </w:r>
    </w:p>
    <w:p>
      <w:pPr>
        <w:pStyle w:val="BodyText"/>
      </w:pPr>
      <w:r>
        <w:rPr>
          <w:bCs/>
          <w:b/>
        </w:rPr>
        <w:t xml:space="preserve">Specialist level (role-specific):</w:t>
      </w:r>
      <w:r>
        <w:t xml:space="preserve"> </w:t>
      </w:r>
      <w:r>
        <w:t xml:space="preserve">- Prompt engineering and AI system optimization</w:t>
      </w:r>
      <w:r>
        <w:t xml:space="preserve"> </w:t>
      </w:r>
      <w:r>
        <w:t xml:space="preserve">- AI output quality assurance and governance</w:t>
      </w:r>
      <w:r>
        <w:t xml:space="preserve"> </w:t>
      </w:r>
      <w:r>
        <w:t xml:space="preserve">- AI-powered analytics and insight generation</w:t>
      </w:r>
      <w:r>
        <w:t xml:space="preserve"> </w:t>
      </w:r>
      <w:r>
        <w:t xml:space="preserve">- AI platform API management and optimization</w:t>
      </w:r>
    </w:p>
    <w:p>
      <w:pPr>
        <w:pStyle w:val="BodyText"/>
      </w:pPr>
      <w:r>
        <w:rPr>
          <w:bCs/>
          <w:b/>
        </w:rPr>
        <w:t xml:space="preserve">Leadership level (marketing leaders):</w:t>
      </w:r>
      <w:r>
        <w:t xml:space="preserve"> </w:t>
      </w:r>
      <w:r>
        <w:t xml:space="preserve">- AI strategy formulation and investment prioritization</w:t>
      </w:r>
      <w:r>
        <w:t xml:space="preserve"> </w:t>
      </w:r>
      <w:r>
        <w:t xml:space="preserve">- Organizational change management for AI transformation</w:t>
      </w:r>
      <w:r>
        <w:t xml:space="preserve"> </w:t>
      </w:r>
      <w:r>
        <w:t xml:space="preserve">- AI risk assessment and governance</w:t>
      </w:r>
      <w:r>
        <w:t xml:space="preserve"> </w:t>
      </w:r>
      <w:r>
        <w:t xml:space="preserve">- Cross-functional AI initiative coordination</w:t>
      </w:r>
    </w:p>
    <w:bookmarkEnd w:id="88"/>
    <w:bookmarkStart w:id="89" w:name="gap-analysis"/>
    <w:p>
      <w:pPr>
        <w:pStyle w:val="Heading3"/>
      </w:pPr>
      <w:r>
        <w:t xml:space="preserve">5.2.3 Gap Analysis</w:t>
      </w:r>
    </w:p>
    <w:p>
      <w:pPr>
        <w:pStyle w:val="FirstParagraph"/>
      </w:pPr>
      <w:r>
        <w:t xml:space="preserve">Current skill levels versus requirements (estimated):</w:t>
      </w:r>
    </w:p>
    <w:tbl>
      <w:tblPr>
        <w:tblStyle w:val="Table"/>
        <w:tblW w:type="pct" w:w="5000"/>
        <w:tblLook w:firstRow="1" w:lastRow="0" w:firstColumn="0" w:lastColumn="0" w:noHBand="0" w:noVBand="0" w:val="0020"/>
        <w:jc w:val="start"/>
      </w:tblPr>
      <w:tblGrid>
        <w:gridCol w:w="894"/>
        <w:gridCol w:w="1788"/>
        <w:gridCol w:w="2171"/>
        <w:gridCol w:w="638"/>
        <w:gridCol w:w="2427"/>
      </w:tblGrid>
      <w:tr>
        <w:trPr>
          <w:tblHeader w:val="true"/>
        </w:trPr>
        <w:tc>
          <w:tcPr/>
          <w:p>
            <w:pPr>
              <w:pStyle w:val="Compact"/>
              <w:jc w:val="left"/>
            </w:pPr>
            <w:r>
              <w:t xml:space="preserve">Skill</w:t>
            </w:r>
          </w:p>
        </w:tc>
        <w:tc>
          <w:tcPr/>
          <w:p>
            <w:pPr>
              <w:pStyle w:val="Compact"/>
              <w:jc w:val="left"/>
            </w:pPr>
            <w:r>
              <w:t xml:space="preserve">Current Level</w:t>
            </w:r>
          </w:p>
        </w:tc>
        <w:tc>
          <w:tcPr/>
          <w:p>
            <w:pPr>
              <w:pStyle w:val="Compact"/>
              <w:jc w:val="left"/>
            </w:pPr>
            <w:r>
              <w:t xml:space="preserve">Required (2028)</w:t>
            </w:r>
          </w:p>
        </w:tc>
        <w:tc>
          <w:tcPr/>
          <w:p>
            <w:pPr>
              <w:pStyle w:val="Compact"/>
              <w:jc w:val="left"/>
            </w:pPr>
            <w:r>
              <w:t xml:space="preserve">Gap</w:t>
            </w:r>
          </w:p>
        </w:tc>
        <w:tc>
          <w:tcPr/>
          <w:p>
            <w:pPr>
              <w:pStyle w:val="Compact"/>
              <w:jc w:val="left"/>
            </w:pPr>
            <w:r>
              <w:t xml:space="preserve">Training Priority</w:t>
            </w:r>
          </w:p>
        </w:tc>
      </w:tr>
      <w:tr>
        <w:tc>
          <w:tcPr/>
          <w:p>
            <w:pPr>
              <w:pStyle w:val="Compact"/>
              <w:jc w:val="left"/>
            </w:pPr>
            <w:r>
              <w:t xml:space="preserve">AI Literacy</w:t>
            </w:r>
          </w:p>
        </w:tc>
        <w:tc>
          <w:tcPr/>
          <w:p>
            <w:pPr>
              <w:pStyle w:val="Compact"/>
              <w:jc w:val="left"/>
            </w:pPr>
            <w:r>
              <w:t xml:space="preserve">25% proficient</w:t>
            </w:r>
          </w:p>
        </w:tc>
        <w:tc>
          <w:tcPr/>
          <w:p>
            <w:pPr>
              <w:pStyle w:val="Compact"/>
              <w:jc w:val="left"/>
            </w:pPr>
            <w:r>
              <w:t xml:space="preserve">90% proficient</w:t>
            </w:r>
          </w:p>
        </w:tc>
        <w:tc>
          <w:tcPr/>
          <w:p>
            <w:pPr>
              <w:pStyle w:val="Compact"/>
              <w:jc w:val="left"/>
            </w:pPr>
            <w:r>
              <w:t xml:space="preserve">65 pp</w:t>
            </w:r>
          </w:p>
        </w:tc>
        <w:tc>
          <w:tcPr/>
          <w:p>
            <w:pPr>
              <w:pStyle w:val="Compact"/>
              <w:jc w:val="left"/>
            </w:pPr>
            <w:r>
              <w:t xml:space="preserve">Immediate</w:t>
            </w:r>
          </w:p>
        </w:tc>
      </w:tr>
      <w:tr>
        <w:tc>
          <w:tcPr/>
          <w:p>
            <w:pPr>
              <w:pStyle w:val="Compact"/>
              <w:jc w:val="left"/>
            </w:pPr>
            <w:r>
              <w:t xml:space="preserve">Data Analytics</w:t>
            </w:r>
          </w:p>
        </w:tc>
        <w:tc>
          <w:tcPr/>
          <w:p>
            <w:pPr>
              <w:pStyle w:val="Compact"/>
              <w:jc w:val="left"/>
            </w:pPr>
            <w:r>
              <w:t xml:space="preserve">35% proficient</w:t>
            </w:r>
          </w:p>
        </w:tc>
        <w:tc>
          <w:tcPr/>
          <w:p>
            <w:pPr>
              <w:pStyle w:val="Compact"/>
              <w:jc w:val="left"/>
            </w:pPr>
            <w:r>
              <w:t xml:space="preserve">70% proficient</w:t>
            </w:r>
          </w:p>
        </w:tc>
        <w:tc>
          <w:tcPr/>
          <w:p>
            <w:pPr>
              <w:pStyle w:val="Compact"/>
              <w:jc w:val="left"/>
            </w:pPr>
            <w:r>
              <w:t xml:space="preserve">35 pp</w:t>
            </w:r>
          </w:p>
        </w:tc>
        <w:tc>
          <w:tcPr/>
          <w:p>
            <w:pPr>
              <w:pStyle w:val="Compact"/>
              <w:jc w:val="left"/>
            </w:pPr>
            <w:r>
              <w:t xml:space="preserve">High</w:t>
            </w:r>
          </w:p>
        </w:tc>
      </w:tr>
      <w:tr>
        <w:tc>
          <w:tcPr/>
          <w:p>
            <w:pPr>
              <w:pStyle w:val="Compact"/>
              <w:jc w:val="left"/>
            </w:pPr>
            <w:r>
              <w:t xml:space="preserve">AI Tool Proficiency</w:t>
            </w:r>
          </w:p>
        </w:tc>
        <w:tc>
          <w:tcPr/>
          <w:p>
            <w:pPr>
              <w:pStyle w:val="Compact"/>
              <w:jc w:val="left"/>
            </w:pPr>
            <w:r>
              <w:t xml:space="preserve">15% proficient</w:t>
            </w:r>
          </w:p>
        </w:tc>
        <w:tc>
          <w:tcPr/>
          <w:p>
            <w:pPr>
              <w:pStyle w:val="Compact"/>
              <w:jc w:val="left"/>
            </w:pPr>
            <w:r>
              <w:t xml:space="preserve">75% proficient</w:t>
            </w:r>
          </w:p>
        </w:tc>
        <w:tc>
          <w:tcPr/>
          <w:p>
            <w:pPr>
              <w:pStyle w:val="Compact"/>
              <w:jc w:val="left"/>
            </w:pPr>
            <w:r>
              <w:t xml:space="preserve">60 pp</w:t>
            </w:r>
          </w:p>
        </w:tc>
        <w:tc>
          <w:tcPr/>
          <w:p>
            <w:pPr>
              <w:pStyle w:val="Compact"/>
              <w:jc w:val="left"/>
            </w:pPr>
            <w:r>
              <w:t xml:space="preserve">Immediate</w:t>
            </w:r>
          </w:p>
        </w:tc>
      </w:tr>
      <w:tr>
        <w:tc>
          <w:tcPr/>
          <w:p>
            <w:pPr>
              <w:pStyle w:val="Compact"/>
              <w:jc w:val="left"/>
            </w:pPr>
            <w:r>
              <w:t xml:space="preserve">AI Ethics Awareness</w:t>
            </w:r>
          </w:p>
        </w:tc>
        <w:tc>
          <w:tcPr/>
          <w:p>
            <w:pPr>
              <w:pStyle w:val="Compact"/>
              <w:jc w:val="left"/>
            </w:pPr>
            <w:r>
              <w:t xml:space="preserve">10% proficient</w:t>
            </w:r>
          </w:p>
        </w:tc>
        <w:tc>
          <w:tcPr/>
          <w:p>
            <w:pPr>
              <w:pStyle w:val="Compact"/>
              <w:jc w:val="left"/>
            </w:pPr>
            <w:r>
              <w:t xml:space="preserve">80% proficient</w:t>
            </w:r>
          </w:p>
        </w:tc>
        <w:tc>
          <w:tcPr/>
          <w:p>
            <w:pPr>
              <w:pStyle w:val="Compact"/>
              <w:jc w:val="left"/>
            </w:pPr>
            <w:r>
              <w:t xml:space="preserve">70 pp</w:t>
            </w:r>
          </w:p>
        </w:tc>
        <w:tc>
          <w:tcPr/>
          <w:p>
            <w:pPr>
              <w:pStyle w:val="Compact"/>
              <w:jc w:val="left"/>
            </w:pPr>
            <w:r>
              <w:t xml:space="preserve">Immediate</w:t>
            </w:r>
          </w:p>
        </w:tc>
      </w:tr>
      <w:tr>
        <w:tc>
          <w:tcPr/>
          <w:p>
            <w:pPr>
              <w:pStyle w:val="Compact"/>
              <w:jc w:val="left"/>
            </w:pPr>
            <w:r>
              <w:t xml:space="preserve">Platform Management</w:t>
            </w:r>
          </w:p>
        </w:tc>
        <w:tc>
          <w:tcPr/>
          <w:p>
            <w:pPr>
              <w:pStyle w:val="Compact"/>
              <w:jc w:val="left"/>
            </w:pPr>
            <w:r>
              <w:t xml:space="preserve">5% proficient</w:t>
            </w:r>
          </w:p>
        </w:tc>
        <w:tc>
          <w:tcPr/>
          <w:p>
            <w:pPr>
              <w:pStyle w:val="Compact"/>
              <w:jc w:val="left"/>
            </w:pPr>
            <w:r>
              <w:t xml:space="preserve">40% proficient</w:t>
            </w:r>
          </w:p>
        </w:tc>
        <w:tc>
          <w:tcPr/>
          <w:p>
            <w:pPr>
              <w:pStyle w:val="Compact"/>
              <w:jc w:val="left"/>
            </w:pPr>
            <w:r>
              <w:t xml:space="preserve">35 pp</w:t>
            </w:r>
          </w:p>
        </w:tc>
        <w:tc>
          <w:tcPr/>
          <w:p>
            <w:pPr>
              <w:pStyle w:val="Compact"/>
              <w:jc w:val="left"/>
            </w:pPr>
            <w:r>
              <w:t xml:space="preserve">Medium</w:t>
            </w:r>
          </w:p>
        </w:tc>
      </w:tr>
    </w:tbl>
    <w:bookmarkEnd w:id="89"/>
    <w:bookmarkEnd w:id="90"/>
    <w:bookmarkStart w:id="94" w:name="part-c-process-transformation-analysis"/>
    <w:p>
      <w:pPr>
        <w:pStyle w:val="Heading2"/>
      </w:pPr>
      <w:r>
        <w:t xml:space="preserve">5.3 Part C: Process Transformation Analysis</w:t>
      </w:r>
    </w:p>
    <w:bookmarkStart w:id="91" w:name="campaign-development-and-execution"/>
    <w:p>
      <w:pPr>
        <w:pStyle w:val="Heading3"/>
      </w:pPr>
      <w:r>
        <w:t xml:space="preserve">5.3.1 Campaign Development and Execution</w:t>
      </w:r>
    </w:p>
    <w:p>
      <w:pPr>
        <w:pStyle w:val="FirstParagraph"/>
      </w:pPr>
      <w:r>
        <w:rPr>
          <w:bCs/>
          <w:b/>
        </w:rPr>
        <w:t xml:space="preserve">Current process (2026):</w:t>
      </w:r>
      <w:r>
        <w:t xml:space="preserve"> </w:t>
      </w:r>
      <w:r>
        <w:t xml:space="preserve">Brief → Creative development (2–4 weeks) → Internal review → Compliance review → Production → Launch → Manual optimization → Post-campaign analysis</w:t>
      </w:r>
    </w:p>
    <w:p>
      <w:pPr>
        <w:pStyle w:val="BodyText"/>
      </w:pPr>
      <w:r>
        <w:rPr>
          <w:bCs/>
          <w:b/>
        </w:rPr>
        <w:t xml:space="preserve">Target process (2028):</w:t>
      </w:r>
      <w:r>
        <w:t xml:space="preserve"> </w:t>
      </w:r>
      <w:r>
        <w:t xml:space="preserve">Strategic brief → AI-generated creative variants (hours) → Human curation + compliance AI pre-check → Compliance review (streamlined) → Dynamic production → Continuous AI optimization → Real-time performance insight → Automated learning loop</w:t>
      </w:r>
    </w:p>
    <w:p>
      <w:pPr>
        <w:pStyle w:val="BodyText"/>
      </w:pPr>
      <w:r>
        <w:rPr>
          <w:bCs/>
          <w:b/>
        </w:rPr>
        <w:t xml:space="preserve">Key changes:</w:t>
      </w:r>
      <w:r>
        <w:t xml:space="preserve"> </w:t>
      </w:r>
      <w:r>
        <w:t xml:space="preserve">- Creative development compresses from weeks to hours</w:t>
      </w:r>
      <w:r>
        <w:t xml:space="preserve"> </w:t>
      </w:r>
      <w:r>
        <w:t xml:space="preserve">- Compliance review becomes AI-assisted (pre-screening reduces human review burden by 40–60%)</w:t>
      </w:r>
      <w:r>
        <w:t xml:space="preserve"> </w:t>
      </w:r>
      <w:r>
        <w:t xml:space="preserve">- Optimization shifts from post-launch manual intervention to continuous AI-driven adaptation</w:t>
      </w:r>
      <w:r>
        <w:t xml:space="preserve"> </w:t>
      </w:r>
      <w:r>
        <w:t xml:space="preserve">- Performance analysis becomes real-time rather than post-campaign</w:t>
      </w:r>
    </w:p>
    <w:bookmarkEnd w:id="91"/>
    <w:bookmarkStart w:id="92" w:name="content-creation-and-approval"/>
    <w:p>
      <w:pPr>
        <w:pStyle w:val="Heading3"/>
      </w:pPr>
      <w:r>
        <w:t xml:space="preserve">5.3.2 Content Creation and Approval</w:t>
      </w:r>
    </w:p>
    <w:p>
      <w:pPr>
        <w:pStyle w:val="FirstParagraph"/>
      </w:pPr>
      <w:r>
        <w:rPr>
          <w:bCs/>
          <w:b/>
        </w:rPr>
        <w:t xml:space="preserve">Current process:</w:t>
      </w:r>
      <w:r>
        <w:t xml:space="preserve"> </w:t>
      </w:r>
      <w:r>
        <w:t xml:space="preserve">Briefing → Writing → Design → Review → Compliance → Translation → Localization → Publication</w:t>
      </w:r>
    </w:p>
    <w:p>
      <w:pPr>
        <w:pStyle w:val="BodyText"/>
      </w:pPr>
      <w:r>
        <w:rPr>
          <w:bCs/>
          <w:b/>
        </w:rPr>
        <w:t xml:space="preserve">Target process:</w:t>
      </w:r>
      <w:r>
        <w:t xml:space="preserve"> </w:t>
      </w:r>
      <w:r>
        <w:t xml:space="preserve">Strategic brief → AI content generation (multiple variants) → Human editorial selection/refinement → AI compliance pre-check → Streamlined human compliance approval → AI-powered translation and localization → Multi-channel publication</w:t>
      </w:r>
    </w:p>
    <w:p>
      <w:pPr>
        <w:pStyle w:val="BodyText"/>
      </w:pPr>
      <w:r>
        <w:rPr>
          <w:bCs/>
          <w:b/>
        </w:rPr>
        <w:t xml:space="preserve">Key changes:</w:t>
      </w:r>
      <w:r>
        <w:t xml:space="preserve"> </w:t>
      </w:r>
      <w:r>
        <w:t xml:space="preserve">- Content volume increases 5–10x while headcount remains stable</w:t>
      </w:r>
      <w:r>
        <w:t xml:space="preserve"> </w:t>
      </w:r>
      <w:r>
        <w:t xml:space="preserve">- Translation and localization largely automated (with human quality check for key markets)</w:t>
      </w:r>
      <w:r>
        <w:t xml:space="preserve"> </w:t>
      </w:r>
      <w:r>
        <w:t xml:space="preserve">- Compliance pre-screening by AI reduces bottlenecks</w:t>
      </w:r>
    </w:p>
    <w:bookmarkEnd w:id="92"/>
    <w:bookmarkStart w:id="93" w:name="customer-insight-generation"/>
    <w:p>
      <w:pPr>
        <w:pStyle w:val="Heading3"/>
      </w:pPr>
      <w:r>
        <w:t xml:space="preserve">5.3.3 Customer Insight Generation</w:t>
      </w:r>
    </w:p>
    <w:p>
      <w:pPr>
        <w:pStyle w:val="FirstParagraph"/>
      </w:pPr>
      <w:r>
        <w:rPr>
          <w:bCs/>
          <w:b/>
        </w:rPr>
        <w:t xml:space="preserve">Current process:</w:t>
      </w:r>
      <w:r>
        <w:t xml:space="preserve"> </w:t>
      </w:r>
      <w:r>
        <w:t xml:space="preserve">Quarterly brand tracker → Annual segmentation study → Ad hoc research projects → Manual insight synthesis → Presentation to stakeholders</w:t>
      </w:r>
    </w:p>
    <w:p>
      <w:pPr>
        <w:pStyle w:val="BodyText"/>
      </w:pPr>
      <w:r>
        <w:rPr>
          <w:bCs/>
          <w:b/>
        </w:rPr>
        <w:t xml:space="preserve">Target process:</w:t>
      </w:r>
      <w:r>
        <w:t xml:space="preserve"> </w:t>
      </w:r>
      <w:r>
        <w:t xml:space="preserve">Continuous AI-powered behavioral monitoring → Real-time segmentation updates → AI-identified insight alerts → Automated pattern detection → Dynamic dashboard → Human strategic interpretation</w:t>
      </w:r>
    </w:p>
    <w:p>
      <w:pPr>
        <w:pStyle w:val="BodyText"/>
      </w:pPr>
      <w:r>
        <w:rPr>
          <w:bCs/>
          <w:b/>
        </w:rPr>
        <w:t xml:space="preserve">Key changes:</w:t>
      </w:r>
      <w:r>
        <w:t xml:space="preserve"> </w:t>
      </w:r>
      <w:r>
        <w:t xml:space="preserve">- From periodic to continuous</w:t>
      </w:r>
      <w:r>
        <w:t xml:space="preserve"> </w:t>
      </w:r>
      <w:r>
        <w:t xml:space="preserve">- From segment-level to individual-level</w:t>
      </w:r>
      <w:r>
        <w:t xml:space="preserve"> </w:t>
      </w:r>
      <w:r>
        <w:t xml:space="preserve">- From descriptive to predictive</w:t>
      </w:r>
      <w:r>
        <w:t xml:space="preserve"> </w:t>
      </w:r>
      <w:r>
        <w:t xml:space="preserve">- From manual synthesis to AI-assisted interpretation</w:t>
      </w:r>
    </w:p>
    <w:bookmarkEnd w:id="93"/>
    <w:bookmarkEnd w:id="94"/>
    <w:bookmarkStart w:id="97" w:name="X05f1531747522673b40fc47b62ca488181bc208"/>
    <w:p>
      <w:pPr>
        <w:pStyle w:val="Heading2"/>
      </w:pPr>
      <w:r>
        <w:t xml:space="preserve">5.4 Governance Framework for AI-Enabled Marketing</w:t>
      </w:r>
    </w:p>
    <w:bookmarkStart w:id="95" w:name="governance-structure"/>
    <w:p>
      <w:pPr>
        <w:pStyle w:val="Heading3"/>
      </w:pPr>
      <w:r>
        <w:t xml:space="preserve">Governance Structure</w:t>
      </w:r>
    </w:p>
    <w:p>
      <w:pPr>
        <w:pStyle w:val="SourceCode"/>
      </w:pPr>
      <w:r>
        <w:rPr>
          <w:rStyle w:val="VerbatimChar"/>
        </w:rPr>
        <w:t xml:space="preserve">┌─────────────────────────────────────────────────────────────────────┐</w:t>
      </w:r>
      <w:r>
        <w:br/>
      </w:r>
      <w:r>
        <w:rPr>
          <w:rStyle w:val="VerbatimChar"/>
        </w:rPr>
        <w:t xml:space="preserve">│  AI MARKETING GOVERNANCE FRAMEWORK                                  │</w:t>
      </w:r>
      <w:r>
        <w:br/>
      </w:r>
      <w:r>
        <w:rPr>
          <w:rStyle w:val="VerbatimChar"/>
        </w:rPr>
        <w:t xml:space="preserve">├─────────────────────────────────────────────────────────────────────┤</w:t>
      </w:r>
      <w:r>
        <w:br/>
      </w:r>
      <w:r>
        <w:rPr>
          <w:rStyle w:val="VerbatimChar"/>
        </w:rPr>
        <w:t xml:space="preserve">│                                                                     │</w:t>
      </w:r>
      <w:r>
        <w:br/>
      </w:r>
      <w:r>
        <w:rPr>
          <w:rStyle w:val="VerbatimChar"/>
        </w:rPr>
        <w:t xml:space="preserve">│  LEVEL 1: STRATEGIC GOVERNANCE                                      │</w:t>
      </w:r>
      <w:r>
        <w:br/>
      </w:r>
      <w:r>
        <w:rPr>
          <w:rStyle w:val="VerbatimChar"/>
        </w:rPr>
        <w:t xml:space="preserve">│  ├── AI Marketing Steering Committee (quarterly)                    │</w:t>
      </w:r>
      <w:r>
        <w:br/>
      </w:r>
      <w:r>
        <w:rPr>
          <w:rStyle w:val="VerbatimChar"/>
        </w:rPr>
        <w:t xml:space="preserve">│  ├── Members: CMO, CTO, Chief Risk Officer, Chief Compliance        │</w:t>
      </w:r>
      <w:r>
        <w:br/>
      </w:r>
      <w:r>
        <w:rPr>
          <w:rStyle w:val="VerbatimChar"/>
        </w:rPr>
        <w:t xml:space="preserve">│  ├── Mandate: AI strategy alignment, investment decisions,          │</w:t>
      </w:r>
      <w:r>
        <w:br/>
      </w:r>
      <w:r>
        <w:rPr>
          <w:rStyle w:val="VerbatimChar"/>
        </w:rPr>
        <w:t xml:space="preserve">│  │   scenario-based resource allocation                             │</w:t>
      </w:r>
      <w:r>
        <w:br/>
      </w:r>
      <w:r>
        <w:rPr>
          <w:rStyle w:val="VerbatimChar"/>
        </w:rPr>
        <w:t xml:space="preserve">│  └── Reporting: Board Risk Committee                                │</w:t>
      </w:r>
      <w:r>
        <w:br/>
      </w:r>
      <w:r>
        <w:rPr>
          <w:rStyle w:val="VerbatimChar"/>
        </w:rPr>
        <w:t xml:space="preserve">│                                                                     │</w:t>
      </w:r>
      <w:r>
        <w:br/>
      </w:r>
      <w:r>
        <w:rPr>
          <w:rStyle w:val="VerbatimChar"/>
        </w:rPr>
        <w:t xml:space="preserve">│  LEVEL 2: OPERATIONAL GOVERNANCE                                    │</w:t>
      </w:r>
      <w:r>
        <w:br/>
      </w:r>
      <w:r>
        <w:rPr>
          <w:rStyle w:val="VerbatimChar"/>
        </w:rPr>
        <w:t xml:space="preserve">│  ├── AI Marketing Ethics Officer (permanent)                        │</w:t>
      </w:r>
      <w:r>
        <w:br/>
      </w:r>
      <w:r>
        <w:rPr>
          <w:rStyle w:val="VerbatimChar"/>
        </w:rPr>
        <w:t xml:space="preserve">│  ├── AI Quality Review Board (monthly)                              │</w:t>
      </w:r>
      <w:r>
        <w:br/>
      </w:r>
      <w:r>
        <w:rPr>
          <w:rStyle w:val="VerbatimChar"/>
        </w:rPr>
        <w:t xml:space="preserve">│  ├── Mandate: AI output quality, compliance, bias monitoring,       │</w:t>
      </w:r>
      <w:r>
        <w:br/>
      </w:r>
      <w:r>
        <w:rPr>
          <w:rStyle w:val="VerbatimChar"/>
        </w:rPr>
        <w:t xml:space="preserve">│  │   incident response                                              │</w:t>
      </w:r>
      <w:r>
        <w:br/>
      </w:r>
      <w:r>
        <w:rPr>
          <w:rStyle w:val="VerbatimChar"/>
        </w:rPr>
        <w:t xml:space="preserve">│  └── Reporting: AI Marketing Steering Committee                     │</w:t>
      </w:r>
      <w:r>
        <w:br/>
      </w:r>
      <w:r>
        <w:rPr>
          <w:rStyle w:val="VerbatimChar"/>
        </w:rPr>
        <w:t xml:space="preserve">│                                                                     │</w:t>
      </w:r>
      <w:r>
        <w:br/>
      </w:r>
      <w:r>
        <w:rPr>
          <w:rStyle w:val="VerbatimChar"/>
        </w:rPr>
        <w:t xml:space="preserve">│  LEVEL 3: EXECUTION GOVERNANCE                                      │</w:t>
      </w:r>
      <w:r>
        <w:br/>
      </w:r>
      <w:r>
        <w:rPr>
          <w:rStyle w:val="VerbatimChar"/>
        </w:rPr>
        <w:t xml:space="preserve">│  ├── AI Tool Approval Process (per tool/vendor)                     │</w:t>
      </w:r>
      <w:r>
        <w:br/>
      </w:r>
      <w:r>
        <w:rPr>
          <w:rStyle w:val="VerbatimChar"/>
        </w:rPr>
        <w:t xml:space="preserve">│  ├── AI Content Review Protocol (per campaign)                      │</w:t>
      </w:r>
      <w:r>
        <w:br/>
      </w:r>
      <w:r>
        <w:rPr>
          <w:rStyle w:val="VerbatimChar"/>
        </w:rPr>
        <w:t xml:space="preserve">│  ├── AI Data Usage Policy (per use case)                            │</w:t>
      </w:r>
      <w:r>
        <w:br/>
      </w:r>
      <w:r>
        <w:rPr>
          <w:rStyle w:val="VerbatimChar"/>
        </w:rPr>
        <w:t xml:space="preserve">│  └── Reporting: AI Quality Review Board                             │</w:t>
      </w:r>
      <w:r>
        <w:br/>
      </w:r>
      <w:r>
        <w:rPr>
          <w:rStyle w:val="VerbatimChar"/>
        </w:rPr>
        <w:t xml:space="preserve">│                                                                     │</w:t>
      </w:r>
      <w:r>
        <w:br/>
      </w:r>
      <w:r>
        <w:rPr>
          <w:rStyle w:val="VerbatimChar"/>
        </w:rPr>
        <w:t xml:space="preserve">└─────────────────────────────────────────────────────────────────────┘</w:t>
      </w:r>
    </w:p>
    <w:bookmarkEnd w:id="95"/>
    <w:bookmarkStart w:id="96" w:name="governance-principles"/>
    <w:p>
      <w:pPr>
        <w:pStyle w:val="Heading3"/>
      </w:pPr>
      <w:r>
        <w:t xml:space="preserve">Governance Principles</w:t>
      </w:r>
    </w:p>
    <w:p>
      <w:pPr>
        <w:numPr>
          <w:ilvl w:val="0"/>
          <w:numId w:val="1027"/>
        </w:numPr>
        <w:pStyle w:val="Compact"/>
      </w:pPr>
      <w:r>
        <w:rPr>
          <w:bCs/>
          <w:b/>
        </w:rPr>
        <w:t xml:space="preserve">Human-in-the-loop for all client-facing AI:</w:t>
      </w:r>
      <w:r>
        <w:t xml:space="preserve"> </w:t>
      </w:r>
      <w:r>
        <w:t xml:space="preserve">No AI-generated content reaches clients without human review.</w:t>
      </w:r>
    </w:p>
    <w:p>
      <w:pPr>
        <w:numPr>
          <w:ilvl w:val="0"/>
          <w:numId w:val="1027"/>
        </w:numPr>
        <w:pStyle w:val="Compact"/>
      </w:pPr>
      <w:r>
        <w:rPr>
          <w:bCs/>
          <w:b/>
        </w:rPr>
        <w:t xml:space="preserve">Transparency in AI use:</w:t>
      </w:r>
      <w:r>
        <w:t xml:space="preserve"> </w:t>
      </w:r>
      <w:r>
        <w:t xml:space="preserve">Clients are informed when AI is used in their interactions (per FINMA expectations).</w:t>
      </w:r>
    </w:p>
    <w:p>
      <w:pPr>
        <w:numPr>
          <w:ilvl w:val="0"/>
          <w:numId w:val="1027"/>
        </w:numPr>
        <w:pStyle w:val="Compact"/>
      </w:pPr>
      <w:r>
        <w:rPr>
          <w:bCs/>
          <w:b/>
        </w:rPr>
        <w:t xml:space="preserve">Bias monitoring:</w:t>
      </w:r>
      <w:r>
        <w:t xml:space="preserve"> </w:t>
      </w:r>
      <w:r>
        <w:t xml:space="preserve">Regular audits of AI outputs for demographic, geographic, or wealth-tier bias.</w:t>
      </w:r>
    </w:p>
    <w:p>
      <w:pPr>
        <w:numPr>
          <w:ilvl w:val="0"/>
          <w:numId w:val="1027"/>
        </w:numPr>
        <w:pStyle w:val="Compact"/>
      </w:pPr>
      <w:r>
        <w:rPr>
          <w:bCs/>
          <w:b/>
        </w:rPr>
        <w:t xml:space="preserve">Data minimization:</w:t>
      </w:r>
      <w:r>
        <w:t xml:space="preserve"> </w:t>
      </w:r>
      <w:r>
        <w:t xml:space="preserve">AI systems use only the data necessary for the specific marketing purpose.</w:t>
      </w:r>
    </w:p>
    <w:p>
      <w:pPr>
        <w:numPr>
          <w:ilvl w:val="0"/>
          <w:numId w:val="1027"/>
        </w:numPr>
        <w:pStyle w:val="Compact"/>
      </w:pPr>
      <w:r>
        <w:rPr>
          <w:bCs/>
          <w:b/>
        </w:rPr>
        <w:t xml:space="preserve">Explainability:</w:t>
      </w:r>
      <w:r>
        <w:t xml:space="preserve"> </w:t>
      </w:r>
      <w:r>
        <w:t xml:space="preserve">AI-driven recommendations to advisors must be explainable —</w:t>
      </w:r>
      <w:r>
        <w:t xml:space="preserve"> </w:t>
      </w:r>
      <w:r>
        <w:t xml:space="preserve">“</w:t>
      </w:r>
      <w:r>
        <w:t xml:space="preserve">the AI recommended this because…</w:t>
      </w:r>
      <w:r>
        <w:t xml:space="preserve">”</w:t>
      </w:r>
      <w:r>
        <w:t xml:space="preserve"> </w:t>
      </w:r>
      <w:r>
        <w:t xml:space="preserve">not</w:t>
      </w:r>
      <w:r>
        <w:t xml:space="preserve"> </w:t>
      </w:r>
      <w:r>
        <w:t xml:space="preserve">“</w:t>
      </w:r>
      <w:r>
        <w:t xml:space="preserve">the AI recommended this.</w:t>
      </w:r>
      <w:r>
        <w:t xml:space="preserve">”</w:t>
      </w:r>
    </w:p>
    <w:bookmarkEnd w:id="96"/>
    <w:bookmarkEnd w:id="97"/>
    <w:bookmarkStart w:id="100" w:name="change-management-considerations"/>
    <w:p>
      <w:pPr>
        <w:pStyle w:val="Heading2"/>
      </w:pPr>
      <w:r>
        <w:t xml:space="preserve">5.5 Change Management Considerations</w:t>
      </w:r>
    </w:p>
    <w:bookmarkStart w:id="98" w:name="behavioral-barriers-to-transformation"/>
    <w:p>
      <w:pPr>
        <w:pStyle w:val="Heading3"/>
      </w:pPr>
      <w:r>
        <w:t xml:space="preserve">Behavioral Barriers to Transformation</w:t>
      </w:r>
    </w:p>
    <w:tbl>
      <w:tblPr>
        <w:tblStyle w:val="Table"/>
        <w:tblW w:type="pct" w:w="5000"/>
        <w:tblLook w:firstRow="1" w:lastRow="0" w:firstColumn="0" w:lastColumn="0" w:noHBand="0" w:noVBand="0" w:val="0020"/>
        <w:jc w:val="start"/>
      </w:tblPr>
      <w:tblGrid>
        <w:gridCol w:w="1397"/>
        <w:gridCol w:w="3261"/>
        <w:gridCol w:w="3261"/>
      </w:tblGrid>
      <w:tr>
        <w:trPr>
          <w:tblHeader w:val="true"/>
        </w:trPr>
        <w:tc>
          <w:tcPr/>
          <w:p>
            <w:pPr>
              <w:pStyle w:val="Compact"/>
              <w:jc w:val="left"/>
            </w:pPr>
            <w:r>
              <w:t xml:space="preserve">Barrier</w:t>
            </w:r>
          </w:p>
        </w:tc>
        <w:tc>
          <w:tcPr/>
          <w:p>
            <w:pPr>
              <w:pStyle w:val="Compact"/>
              <w:jc w:val="left"/>
            </w:pPr>
            <w:r>
              <w:t xml:space="preserve">Behavioral Mechanism</w:t>
            </w:r>
          </w:p>
        </w:tc>
        <w:tc>
          <w:tcPr/>
          <w:p>
            <w:pPr>
              <w:pStyle w:val="Compact"/>
              <w:jc w:val="left"/>
            </w:pPr>
            <w:r>
              <w:t xml:space="preserve">Mitigation Strategy</w:t>
            </w:r>
          </w:p>
        </w:tc>
      </w:tr>
      <w:tr>
        <w:tc>
          <w:tcPr/>
          <w:p>
            <w:pPr>
              <w:pStyle w:val="Compact"/>
              <w:jc w:val="left"/>
            </w:pPr>
            <w:r>
              <w:t xml:space="preserve">Resistance to AI tools</w:t>
            </w:r>
          </w:p>
        </w:tc>
        <w:tc>
          <w:tcPr/>
          <w:p>
            <w:pPr>
              <w:pStyle w:val="Compact"/>
              <w:jc w:val="left"/>
            </w:pPr>
            <w:r>
              <w:t xml:space="preserve">Status quo bias (MS-RD-003)</w:t>
            </w:r>
          </w:p>
        </w:tc>
        <w:tc>
          <w:tcPr/>
          <w:p>
            <w:pPr>
              <w:pStyle w:val="Compact"/>
              <w:jc w:val="left"/>
            </w:pPr>
            <w:r>
              <w:t xml:space="preserve">Frame AI as enhancement, not replacement.</w:t>
            </w:r>
            <w:r>
              <w:t xml:space="preserve"> </w:t>
            </w:r>
            <w:r>
              <w:t xml:space="preserve">“</w:t>
            </w:r>
            <w:r>
              <w:t xml:space="preserve">You + AI &gt; You alone</w:t>
            </w:r>
            <w:r>
              <w:t xml:space="preserve">”</w:t>
            </w:r>
          </w:p>
        </w:tc>
      </w:tr>
      <w:tr>
        <w:tc>
          <w:tcPr/>
          <w:p>
            <w:pPr>
              <w:pStyle w:val="Compact"/>
              <w:jc w:val="left"/>
            </w:pPr>
            <w:r>
              <w:t xml:space="preserve">Fear of obsolescence</w:t>
            </w:r>
          </w:p>
        </w:tc>
        <w:tc>
          <w:tcPr/>
          <w:p>
            <w:pPr>
              <w:pStyle w:val="Compact"/>
              <w:jc w:val="left"/>
            </w:pPr>
            <w:r>
              <w:t xml:space="preserve">Loss aversion (λ &gt; 1)</w:t>
            </w:r>
          </w:p>
        </w:tc>
        <w:tc>
          <w:tcPr/>
          <w:p>
            <w:pPr>
              <w:pStyle w:val="Compact"/>
              <w:jc w:val="left"/>
            </w:pPr>
            <w:r>
              <w:t xml:space="preserve">Emphasize new role creation, not role elimination. Provide retraining guarantees</w:t>
            </w:r>
          </w:p>
        </w:tc>
      </w:tr>
      <w:tr>
        <w:tc>
          <w:tcPr/>
          <w:p>
            <w:pPr>
              <w:pStyle w:val="Compact"/>
              <w:jc w:val="left"/>
            </w:pPr>
            <w:r>
              <w:t xml:space="preserve">Skill investment reluctance</w:t>
            </w:r>
          </w:p>
        </w:tc>
        <w:tc>
          <w:tcPr/>
          <w:p>
            <w:pPr>
              <w:pStyle w:val="Compact"/>
              <w:jc w:val="left"/>
            </w:pPr>
            <w:r>
              <w:t xml:space="preserve">Present bias (β &lt; 1)</w:t>
            </w:r>
          </w:p>
        </w:tc>
        <w:tc>
          <w:tcPr/>
          <w:p>
            <w:pPr>
              <w:pStyle w:val="Compact"/>
              <w:jc w:val="left"/>
            </w:pPr>
            <w:r>
              <w:t xml:space="preserve">Immediate rewards for training completion. Gamification. Peer recognition</w:t>
            </w:r>
          </w:p>
        </w:tc>
      </w:tr>
      <w:tr>
        <w:tc>
          <w:tcPr/>
          <w:p>
            <w:pPr>
              <w:pStyle w:val="Compact"/>
              <w:jc w:val="left"/>
            </w:pPr>
            <w:r>
              <w:t xml:space="preserve">Tribal identity threat</w:t>
            </w:r>
          </w:p>
        </w:tc>
        <w:tc>
          <w:tcPr/>
          <w:p>
            <w:pPr>
              <w:pStyle w:val="Compact"/>
              <w:jc w:val="left"/>
            </w:pPr>
            <w:r>
              <w:t xml:space="preserve">Identity economics (MS-IB-001)</w:t>
            </w:r>
          </w:p>
        </w:tc>
        <w:tc>
          <w:tcPr/>
          <w:p>
            <w:pPr>
              <w:pStyle w:val="Compact"/>
              <w:jc w:val="left"/>
            </w:pPr>
            <w:r>
              <w:t xml:space="preserve">Redefine professional identity:</w:t>
            </w:r>
            <w:r>
              <w:t xml:space="preserve"> </w:t>
            </w:r>
            <w:r>
              <w:t xml:space="preserve">“</w:t>
            </w:r>
            <w:r>
              <w:t xml:space="preserve">AI-augmented marketer</w:t>
            </w:r>
            <w:r>
              <w:t xml:space="preserve">”</w:t>
            </w:r>
            <w:r>
              <w:t xml:space="preserve"> </w:t>
            </w:r>
            <w:r>
              <w:t xml:space="preserve">as prestigious evolution</w:t>
            </w:r>
          </w:p>
        </w:tc>
      </w:tr>
      <w:tr>
        <w:tc>
          <w:tcPr/>
          <w:p>
            <w:pPr>
              <w:pStyle w:val="Compact"/>
              <w:jc w:val="left"/>
            </w:pPr>
            <w:r>
              <w:t xml:space="preserve">Information overload</w:t>
            </w:r>
          </w:p>
        </w:tc>
        <w:tc>
          <w:tcPr/>
          <w:p>
            <w:pPr>
              <w:pStyle w:val="Compact"/>
              <w:jc w:val="left"/>
            </w:pPr>
            <w:r>
              <w:t xml:space="preserve">Cognitive load (Ψ_C)</w:t>
            </w:r>
          </w:p>
        </w:tc>
        <w:tc>
          <w:tcPr/>
          <w:p>
            <w:pPr>
              <w:pStyle w:val="Compact"/>
              <w:jc w:val="left"/>
            </w:pPr>
            <w:r>
              <w:t xml:space="preserve">Phased introduction. Start with one AI tool per quarter, not everything at once</w:t>
            </w:r>
          </w:p>
        </w:tc>
      </w:tr>
    </w:tbl>
    <w:bookmarkEnd w:id="98"/>
    <w:bookmarkStart w:id="99" w:name="critical-success-factors"/>
    <w:p>
      <w:pPr>
        <w:pStyle w:val="Heading3"/>
      </w:pPr>
      <w:r>
        <w:t xml:space="preserve">Critical Success Factors</w:t>
      </w:r>
    </w:p>
    <w:p>
      <w:pPr>
        <w:numPr>
          <w:ilvl w:val="0"/>
          <w:numId w:val="1028"/>
        </w:numPr>
        <w:pStyle w:val="Compact"/>
      </w:pPr>
      <w:r>
        <w:rPr>
          <w:bCs/>
          <w:b/>
        </w:rPr>
        <w:t xml:space="preserve">Leadership commitment:</w:t>
      </w:r>
      <w:r>
        <w:t xml:space="preserve"> </w:t>
      </w:r>
      <w:r>
        <w:t xml:space="preserve">Visible adoption of AI tools by marketing leadership signals organizational seriousness.</w:t>
      </w:r>
    </w:p>
    <w:p>
      <w:pPr>
        <w:numPr>
          <w:ilvl w:val="0"/>
          <w:numId w:val="1028"/>
        </w:numPr>
        <w:pStyle w:val="Compact"/>
      </w:pPr>
      <w:r>
        <w:rPr>
          <w:bCs/>
          <w:b/>
        </w:rPr>
        <w:t xml:space="preserve">Safe experimentation:</w:t>
      </w:r>
      <w:r>
        <w:t xml:space="preserve"> </w:t>
      </w:r>
      <w:r>
        <w:t xml:space="preserve">Create</w:t>
      </w:r>
      <w:r>
        <w:t xml:space="preserve"> </w:t>
      </w:r>
      <w:r>
        <w:t xml:space="preserve">“</w:t>
      </w:r>
      <w:r>
        <w:t xml:space="preserve">sandbox</w:t>
      </w:r>
      <w:r>
        <w:t xml:space="preserve">”</w:t>
      </w:r>
      <w:r>
        <w:t xml:space="preserve"> </w:t>
      </w:r>
      <w:r>
        <w:t xml:space="preserve">environments where staff can experiment with AI without fear of error.</w:t>
      </w:r>
    </w:p>
    <w:p>
      <w:pPr>
        <w:numPr>
          <w:ilvl w:val="0"/>
          <w:numId w:val="1028"/>
        </w:numPr>
        <w:pStyle w:val="Compact"/>
      </w:pPr>
      <w:r>
        <w:rPr>
          <w:bCs/>
          <w:b/>
        </w:rPr>
        <w:t xml:space="preserve">Quick wins:</w:t>
      </w:r>
      <w:r>
        <w:t xml:space="preserve"> </w:t>
      </w:r>
      <w:r>
        <w:t xml:space="preserve">Early AI deployments should target visible, low-risk improvements that build confidence and momentum.</w:t>
      </w:r>
    </w:p>
    <w:p>
      <w:pPr>
        <w:numPr>
          <w:ilvl w:val="0"/>
          <w:numId w:val="1028"/>
        </w:numPr>
        <w:pStyle w:val="Compact"/>
      </w:pPr>
      <w:r>
        <w:rPr>
          <w:bCs/>
          <w:b/>
        </w:rPr>
        <w:t xml:space="preserve">Measurement transparency:</w:t>
      </w:r>
      <w:r>
        <w:t xml:space="preserve"> </w:t>
      </w:r>
      <w:r>
        <w:t xml:space="preserve">Track and communicate AI’s contribution to marketing outcomes to build evidence-based support.</w:t>
      </w:r>
    </w:p>
    <w:p>
      <w:pPr>
        <w:numPr>
          <w:ilvl w:val="0"/>
          <w:numId w:val="1028"/>
        </w:numPr>
        <w:pStyle w:val="Compact"/>
      </w:pPr>
      <w:r>
        <w:rPr>
          <w:bCs/>
          <w:b/>
        </w:rPr>
        <w:t xml:space="preserve">Peer learning networks:</w:t>
      </w:r>
      <w:r>
        <w:t xml:space="preserve"> </w:t>
      </w:r>
      <w:r>
        <w:t xml:space="preserve">Establish communities of practice where early adopters support colleagues.</w:t>
      </w:r>
    </w:p>
    <w:p>
      <w:r>
        <w:pict>
          <v:rect style="width:0;height:1.5pt" o:hralign="center" o:hrstd="t" o:hr="t"/>
        </w:pict>
      </w:r>
    </w:p>
    <w:bookmarkEnd w:id="99"/>
    <w:bookmarkEnd w:id="100"/>
    <w:bookmarkEnd w:id="101"/>
    <w:bookmarkStart w:id="121" w:name="X25ab999325d94642f2c076df634829f29d2aa12"/>
    <w:p>
      <w:pPr>
        <w:pStyle w:val="Heading1"/>
      </w:pPr>
      <w:r>
        <w:t xml:space="preserve">6. Question 4: Strategic Roadmap and No-Regret Moves</w:t>
      </w:r>
    </w:p>
    <w:p>
      <w:pPr>
        <w:pStyle w:val="FirstParagraph"/>
      </w:pPr>
      <w:r>
        <w:rPr>
          <w:iCs/>
          <w:i/>
        </w:rPr>
        <w:t xml:space="preserve">What strategic roadmap should UBS Marketing follow, and what no-regret moves should begin immediately regardless of which scenario emerges?</w:t>
      </w:r>
    </w:p>
    <w:bookmarkStart w:id="105" w:name="part-a-no-regret-move-identification"/>
    <w:p>
      <w:pPr>
        <w:pStyle w:val="Heading2"/>
      </w:pPr>
      <w:r>
        <w:t xml:space="preserve">6.1 Part A: No-Regret Move Identification</w:t>
      </w:r>
    </w:p>
    <w:bookmarkStart w:id="102" w:name="assessment-methodology"/>
    <w:p>
      <w:pPr>
        <w:pStyle w:val="Heading3"/>
      </w:pPr>
      <w:r>
        <w:t xml:space="preserve">Assessment Methodology</w:t>
      </w:r>
    </w:p>
    <w:p>
      <w:pPr>
        <w:pStyle w:val="FirstParagraph"/>
      </w:pPr>
      <w:r>
        <w:t xml:space="preserve">No-regret moves are evaluated using Axiom AIM-16:</w:t>
      </w:r>
    </w:p>
    <w:p>
      <w:pPr>
        <w:pStyle w:val="BodyText"/>
      </w:pPr>
      <w:r>
        <w:rPr>
          <w:bCs/>
          <w:b/>
        </w:rPr>
        <w:t xml:space="preserve">NR = ρ · V_min + (1−ρ) · O + r · L</w:t>
      </w:r>
    </w:p>
    <w:p>
      <w:pPr>
        <w:pStyle w:val="BodyText"/>
      </w:pPr>
      <w:r>
        <w:t xml:space="preserve">Where:</w:t>
      </w:r>
      <w:r>
        <w:t xml:space="preserve"> </w:t>
      </w:r>
      <w:r>
        <w:t xml:space="preserve">-</w:t>
      </w:r>
      <w:r>
        <w:t xml:space="preserve"> </w:t>
      </w:r>
      <w:r>
        <w:rPr>
          <w:bCs/>
          <w:b/>
        </w:rPr>
        <w:t xml:space="preserve">ρ (Scenario Robustness):</w:t>
      </w:r>
      <w:r>
        <w:t xml:space="preserve"> </w:t>
      </w:r>
      <w:r>
        <w:t xml:space="preserve">Minimum value across scenarios / maximum value across scenarios</w:t>
      </w:r>
      <w:r>
        <w:t xml:space="preserve"> </w:t>
      </w:r>
      <w:r>
        <w:t xml:space="preserve">-</w:t>
      </w:r>
      <w:r>
        <w:t xml:space="preserve"> </w:t>
      </w:r>
      <w:r>
        <w:rPr>
          <w:bCs/>
          <w:b/>
        </w:rPr>
        <w:t xml:space="preserve">V_min (Minimum Value):</w:t>
      </w:r>
      <w:r>
        <w:t xml:space="preserve"> </w:t>
      </w:r>
      <w:r>
        <w:t xml:space="preserve">Lowest expected value across all three scenarios</w:t>
      </w:r>
      <w:r>
        <w:t xml:space="preserve"> </w:t>
      </w:r>
      <w:r>
        <w:t xml:space="preserve">-</w:t>
      </w:r>
      <w:r>
        <w:t xml:space="preserve"> </w:t>
      </w:r>
      <w:r>
        <w:rPr>
          <w:bCs/>
          <w:b/>
        </w:rPr>
        <w:t xml:space="preserve">O (Option Value):</w:t>
      </w:r>
      <w:r>
        <w:t xml:space="preserve"> </w:t>
      </w:r>
      <w:r>
        <w:t xml:space="preserve">Value of information and flexibility generated</w:t>
      </w:r>
      <w:r>
        <w:t xml:space="preserve"> </w:t>
      </w:r>
      <w:r>
        <w:t xml:space="preserve">-</w:t>
      </w:r>
      <w:r>
        <w:t xml:space="preserve"> </w:t>
      </w:r>
      <w:r>
        <w:rPr>
          <w:bCs/>
          <w:b/>
        </w:rPr>
        <w:t xml:space="preserve">r (Reversibility):</w:t>
      </w:r>
      <w:r>
        <w:t xml:space="preserve"> </w:t>
      </w:r>
      <w:r>
        <w:t xml:space="preserve">How easily the investment can be adjusted</w:t>
      </w:r>
      <w:r>
        <w:t xml:space="preserve"> </w:t>
      </w:r>
      <w:r>
        <w:t xml:space="preserve">-</w:t>
      </w:r>
      <w:r>
        <w:t xml:space="preserve"> </w:t>
      </w:r>
      <w:r>
        <w:rPr>
          <w:bCs/>
          <w:b/>
        </w:rPr>
        <w:t xml:space="preserve">L (Learning Value):</w:t>
      </w:r>
      <w:r>
        <w:t xml:space="preserve"> </w:t>
      </w:r>
      <w:r>
        <w:t xml:space="preserve">Insight generated regardless of scenario outcome</w:t>
      </w:r>
    </w:p>
    <w:p>
      <w:pPr>
        <w:pStyle w:val="BodyText"/>
      </w:pPr>
      <w:r>
        <w:t xml:space="preserve">A move qualifies as</w:t>
      </w:r>
      <w:r>
        <w:t xml:space="preserve"> </w:t>
      </w:r>
      <w:r>
        <w:t xml:space="preserve">“</w:t>
      </w:r>
      <w:r>
        <w:t xml:space="preserve">no-regret</w:t>
      </w:r>
      <w:r>
        <w:t xml:space="preserve">”</w:t>
      </w:r>
      <w:r>
        <w:t xml:space="preserve"> </w:t>
      </w:r>
      <w:r>
        <w:t xml:space="preserve">if NR &gt; 0.80, meaning it creates value even in the worst scenario and generates learning that improves future decisions.</w:t>
      </w:r>
    </w:p>
    <w:bookmarkEnd w:id="102"/>
    <w:bookmarkStart w:id="103" w:name="no-regret-move-catalogue"/>
    <w:p>
      <w:pPr>
        <w:pStyle w:val="Heading3"/>
      </w:pPr>
      <w:r>
        <w:t xml:space="preserve">No-Regret Move Catalogue</w:t>
      </w:r>
    </w:p>
    <w:p>
      <w:pPr>
        <w:pStyle w:val="FirstParagraph"/>
      </w:pPr>
      <w:r>
        <w:rPr>
          <w:bCs/>
          <w:b/>
        </w:rPr>
        <w:t xml:space="preserve">NR1: AI Literacy Program (All Marketing Staff)</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Scenario Robustness (ρ)</w:t>
            </w:r>
          </w:p>
        </w:tc>
        <w:tc>
          <w:tcPr/>
          <w:p>
            <w:pPr>
              <w:pStyle w:val="Compact"/>
              <w:jc w:val="left"/>
            </w:pPr>
            <w:r>
              <w:t xml:space="preserve">0.95</w:t>
            </w:r>
          </w:p>
        </w:tc>
        <w:tc>
          <w:tcPr/>
          <w:p>
            <w:pPr>
              <w:pStyle w:val="Compact"/>
              <w:jc w:val="left"/>
            </w:pPr>
            <w:r>
              <w:t xml:space="preserve">Valuable in every scenario — even S3 requires internal AI capability</w:t>
            </w:r>
          </w:p>
        </w:tc>
      </w:tr>
      <w:tr>
        <w:tc>
          <w:tcPr/>
          <w:p>
            <w:pPr>
              <w:pStyle w:val="Compact"/>
              <w:jc w:val="left"/>
            </w:pPr>
            <w:r>
              <w:t xml:space="preserve">Minimum Value (V_min)</w:t>
            </w:r>
          </w:p>
        </w:tc>
        <w:tc>
          <w:tcPr/>
          <w:p>
            <w:pPr>
              <w:pStyle w:val="Compact"/>
              <w:jc w:val="left"/>
            </w:pPr>
            <w:r>
              <w:t xml:space="preserve">0.80</w:t>
            </w:r>
          </w:p>
        </w:tc>
        <w:tc>
          <w:tcPr/>
          <w:p>
            <w:pPr>
              <w:pStyle w:val="Compact"/>
              <w:jc w:val="left"/>
            </w:pPr>
            <w:r>
              <w:t xml:space="preserve">S3 floor: internal AI tools improve efficiency regardless</w:t>
            </w:r>
          </w:p>
        </w:tc>
      </w:tr>
      <w:tr>
        <w:tc>
          <w:tcPr/>
          <w:p>
            <w:pPr>
              <w:pStyle w:val="Compact"/>
              <w:jc w:val="left"/>
            </w:pPr>
            <w:r>
              <w:t xml:space="preserve">Option Value (O)</w:t>
            </w:r>
          </w:p>
        </w:tc>
        <w:tc>
          <w:tcPr/>
          <w:p>
            <w:pPr>
              <w:pStyle w:val="Compact"/>
              <w:jc w:val="left"/>
            </w:pPr>
            <w:r>
              <w:t xml:space="preserve">0.85</w:t>
            </w:r>
          </w:p>
        </w:tc>
        <w:tc>
          <w:tcPr/>
          <w:p>
            <w:pPr>
              <w:pStyle w:val="Compact"/>
              <w:jc w:val="left"/>
            </w:pPr>
            <w:r>
              <w:t xml:space="preserve">Creates organizational readiness for any AI deployment</w:t>
            </w:r>
          </w:p>
        </w:tc>
      </w:tr>
      <w:tr>
        <w:tc>
          <w:tcPr/>
          <w:p>
            <w:pPr>
              <w:pStyle w:val="Compact"/>
              <w:jc w:val="left"/>
            </w:pPr>
            <w:r>
              <w:t xml:space="preserve">Reversibility (r)</w:t>
            </w:r>
          </w:p>
        </w:tc>
        <w:tc>
          <w:tcPr/>
          <w:p>
            <w:pPr>
              <w:pStyle w:val="Compact"/>
              <w:jc w:val="left"/>
            </w:pPr>
            <w:r>
              <w:t xml:space="preserve">0.90</w:t>
            </w:r>
          </w:p>
        </w:tc>
        <w:tc>
          <w:tcPr/>
          <w:p>
            <w:pPr>
              <w:pStyle w:val="Compact"/>
              <w:jc w:val="left"/>
            </w:pPr>
            <w:r>
              <w:t xml:space="preserve">Training investment is sunk but human capital is portable</w:t>
            </w:r>
          </w:p>
        </w:tc>
      </w:tr>
      <w:tr>
        <w:tc>
          <w:tcPr/>
          <w:p>
            <w:pPr>
              <w:pStyle w:val="Compact"/>
              <w:jc w:val="left"/>
            </w:pPr>
            <w:r>
              <w:t xml:space="preserve">Learning Value (L)</w:t>
            </w:r>
          </w:p>
        </w:tc>
        <w:tc>
          <w:tcPr/>
          <w:p>
            <w:pPr>
              <w:pStyle w:val="Compact"/>
              <w:jc w:val="left"/>
            </w:pPr>
            <w:r>
              <w:t xml:space="preserve">0.90</w:t>
            </w:r>
          </w:p>
        </w:tc>
        <w:tc>
          <w:tcPr/>
          <w:p>
            <w:pPr>
              <w:pStyle w:val="Compact"/>
              <w:jc w:val="left"/>
            </w:pPr>
            <w:r>
              <w:t xml:space="preserve">Reveals organizational readiness, identifies talent, surfaces barriers</w:t>
            </w:r>
          </w:p>
        </w:tc>
      </w:tr>
      <w:tr>
        <w:tc>
          <w:tcPr/>
          <w:p>
            <w:pPr>
              <w:pStyle w:val="Compact"/>
              <w:jc w:val="left"/>
            </w:pPr>
            <w:r>
              <w:rPr>
                <w:bCs/>
                <w:b/>
              </w:rPr>
              <w:t xml:space="preserve">NR Score</w:t>
            </w:r>
          </w:p>
        </w:tc>
        <w:tc>
          <w:tcPr/>
          <w:p>
            <w:pPr>
              <w:pStyle w:val="Compact"/>
              <w:jc w:val="left"/>
            </w:pPr>
            <w:r>
              <w:rPr>
                <w:bCs/>
                <w:b/>
              </w:rPr>
              <w:t xml:space="preserve">1.61 [1.45, 1.75]</w:t>
            </w:r>
          </w:p>
        </w:tc>
        <w:tc>
          <w:tcPr/>
          <w:p>
            <w:pPr>
              <w:pStyle w:val="Compact"/>
              <w:jc w:val="left"/>
            </w:pPr>
            <w:r>
              <w:rPr>
                <w:bCs/>
                <w:b/>
              </w:rPr>
              <w:t xml:space="preserve">Rank #1 in 60.8% of simulations</w:t>
            </w:r>
          </w:p>
        </w:tc>
      </w:tr>
    </w:tbl>
    <w:p>
      <w:pPr>
        <w:pStyle w:val="BodyText"/>
      </w:pPr>
      <w:r>
        <w:rPr>
          <w:iCs/>
          <w:i/>
        </w:rPr>
        <w:t xml:space="preserve">Design:</w:t>
      </w:r>
      <w:r>
        <w:t xml:space="preserve"> </w:t>
      </w:r>
      <w:r>
        <w:t xml:space="preserve">- Phase 1 (8 weeks): Foundational AI literacy — what AI is, what it can do, how to use basic tools</w:t>
      </w:r>
      <w:r>
        <w:t xml:space="preserve"> </w:t>
      </w:r>
      <w:r>
        <w:t xml:space="preserve">- Phase 2 (8 weeks): Role-specific AI tools — hands-on training with tools relevant to each role</w:t>
      </w:r>
      <w:r>
        <w:t xml:space="preserve"> </w:t>
      </w:r>
      <w:r>
        <w:t xml:space="preserve">- Phase 3 (ongoing): Advanced AI strategy — for leadership and specialists</w:t>
      </w:r>
      <w:r>
        <w:t xml:space="preserve"> </w:t>
      </w:r>
      <w:r>
        <w:t xml:space="preserve">- Investment: Low (~CHF 500K for comprehensive program)</w:t>
      </w:r>
      <w:r>
        <w:t xml:space="preserve"> </w:t>
      </w:r>
      <w:r>
        <w:t xml:space="preserve">- Theory support: MS-SF-003 Dynamic Complementarity — every quarter of delay reduces cumulative returns</w:t>
      </w:r>
    </w:p>
    <w:p>
      <w:pPr>
        <w:pStyle w:val="BodyText"/>
      </w:pPr>
      <w:r>
        <w:rPr>
          <w:bCs/>
          <w:b/>
        </w:rPr>
        <w:t xml:space="preserve">NR2: Customer AI Behavior Monitoring System</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Scenario Robustness (ρ)</w:t>
            </w:r>
          </w:p>
        </w:tc>
        <w:tc>
          <w:tcPr/>
          <w:p>
            <w:pPr>
              <w:pStyle w:val="Compact"/>
              <w:jc w:val="left"/>
            </w:pPr>
            <w:r>
              <w:t xml:space="preserve">0.90</w:t>
            </w:r>
          </w:p>
        </w:tc>
        <w:tc>
          <w:tcPr/>
          <w:p>
            <w:pPr>
              <w:pStyle w:val="Compact"/>
              <w:jc w:val="left"/>
            </w:pPr>
            <w:r>
              <w:t xml:space="preserve">S1 requires aggressive monitoring; S3 requires it to confirm trust trend</w:t>
            </w:r>
          </w:p>
        </w:tc>
      </w:tr>
      <w:tr>
        <w:tc>
          <w:tcPr/>
          <w:p>
            <w:pPr>
              <w:pStyle w:val="Compact"/>
              <w:jc w:val="left"/>
            </w:pPr>
            <w:r>
              <w:t xml:space="preserve">Minimum Value (V_min)</w:t>
            </w:r>
          </w:p>
        </w:tc>
        <w:tc>
          <w:tcPr/>
          <w:p>
            <w:pPr>
              <w:pStyle w:val="Compact"/>
              <w:jc w:val="left"/>
            </w:pPr>
            <w:r>
              <w:t xml:space="preserve">0.75</w:t>
            </w:r>
          </w:p>
        </w:tc>
        <w:tc>
          <w:tcPr/>
          <w:p>
            <w:pPr>
              <w:pStyle w:val="Compact"/>
              <w:jc w:val="left"/>
            </w:pPr>
            <w:r>
              <w:t xml:space="preserve">Even in S3, monitoring AI adoption prevents surprise disruption</w:t>
            </w:r>
          </w:p>
        </w:tc>
      </w:tr>
      <w:tr>
        <w:tc>
          <w:tcPr/>
          <w:p>
            <w:pPr>
              <w:pStyle w:val="Compact"/>
              <w:jc w:val="left"/>
            </w:pPr>
            <w:r>
              <w:t xml:space="preserve">Option Value (O)</w:t>
            </w:r>
          </w:p>
        </w:tc>
        <w:tc>
          <w:tcPr/>
          <w:p>
            <w:pPr>
              <w:pStyle w:val="Compact"/>
              <w:jc w:val="left"/>
            </w:pPr>
            <w:r>
              <w:t xml:space="preserve">0.95</w:t>
            </w:r>
          </w:p>
        </w:tc>
        <w:tc>
          <w:tcPr/>
          <w:p>
            <w:pPr>
              <w:pStyle w:val="Compact"/>
              <w:jc w:val="left"/>
            </w:pPr>
            <w:r>
              <w:t xml:space="preserve">Highest option value — enables informed strategic decisions</w:t>
            </w:r>
          </w:p>
        </w:tc>
      </w:tr>
      <w:tr>
        <w:tc>
          <w:tcPr/>
          <w:p>
            <w:pPr>
              <w:pStyle w:val="Compact"/>
              <w:jc w:val="left"/>
            </w:pPr>
            <w:r>
              <w:t xml:space="preserve">Reversibility (r)</w:t>
            </w:r>
          </w:p>
        </w:tc>
        <w:tc>
          <w:tcPr/>
          <w:p>
            <w:pPr>
              <w:pStyle w:val="Compact"/>
              <w:jc w:val="left"/>
            </w:pPr>
            <w:r>
              <w:t xml:space="preserve">0.85</w:t>
            </w:r>
          </w:p>
        </w:tc>
        <w:tc>
          <w:tcPr/>
          <w:p>
            <w:pPr>
              <w:pStyle w:val="Compact"/>
              <w:jc w:val="left"/>
            </w:pPr>
            <w:r>
              <w:t xml:space="preserve">Dashboard can be scaled down if irrelevant</w:t>
            </w:r>
          </w:p>
        </w:tc>
      </w:tr>
      <w:tr>
        <w:tc>
          <w:tcPr/>
          <w:p>
            <w:pPr>
              <w:pStyle w:val="Compact"/>
              <w:jc w:val="left"/>
            </w:pPr>
            <w:r>
              <w:t xml:space="preserve">Learning Value (L)</w:t>
            </w:r>
          </w:p>
        </w:tc>
        <w:tc>
          <w:tcPr/>
          <w:p>
            <w:pPr>
              <w:pStyle w:val="Compact"/>
              <w:jc w:val="left"/>
            </w:pPr>
            <w:r>
              <w:t xml:space="preserve">0.95</w:t>
            </w:r>
          </w:p>
        </w:tc>
        <w:tc>
          <w:tcPr/>
          <w:p>
            <w:pPr>
              <w:pStyle w:val="Compact"/>
              <w:jc w:val="left"/>
            </w:pPr>
            <w:r>
              <w:t xml:space="preserve">Every data point improves scenario probability estimates</w:t>
            </w:r>
          </w:p>
        </w:tc>
      </w:tr>
      <w:tr>
        <w:tc>
          <w:tcPr/>
          <w:p>
            <w:pPr>
              <w:pStyle w:val="Compact"/>
              <w:jc w:val="left"/>
            </w:pPr>
            <w:r>
              <w:rPr>
                <w:bCs/>
                <w:b/>
              </w:rPr>
              <w:t xml:space="preserve">NR Score</w:t>
            </w:r>
          </w:p>
        </w:tc>
        <w:tc>
          <w:tcPr/>
          <w:p>
            <w:pPr>
              <w:pStyle w:val="Compact"/>
              <w:jc w:val="left"/>
            </w:pPr>
            <w:r>
              <w:rPr>
                <w:bCs/>
                <w:b/>
              </w:rPr>
              <w:t xml:space="preserve">1.58 [1.39, 1.74]</w:t>
            </w:r>
          </w:p>
        </w:tc>
        <w:tc>
          <w:tcPr/>
          <w:p>
            <w:pPr>
              <w:pStyle w:val="Compact"/>
              <w:jc w:val="left"/>
            </w:pPr>
            <w:r>
              <w:rPr>
                <w:bCs/>
                <w:b/>
              </w:rPr>
              <w:t xml:space="preserve">Rank #1 in 38.8% of simulations</w:t>
            </w:r>
          </w:p>
        </w:tc>
      </w:tr>
    </w:tbl>
    <w:p>
      <w:pPr>
        <w:pStyle w:val="BodyText"/>
      </w:pPr>
      <w:r>
        <w:rPr>
          <w:iCs/>
          <w:i/>
        </w:rPr>
        <w:t xml:space="preserve">Design:</w:t>
      </w:r>
      <w:r>
        <w:t xml:space="preserve"> </w:t>
      </w:r>
      <w:r>
        <w:t xml:space="preserve">- Dashboard tracking T1–T6 triggers (see Section 4.7)</w:t>
      </w:r>
      <w:r>
        <w:t xml:space="preserve"> </w:t>
      </w:r>
      <w:r>
        <w:t xml:space="preserve">- Automated data feeds from internal analytics, Google Trends, regulatory databases</w:t>
      </w:r>
      <w:r>
        <w:t xml:space="preserve"> </w:t>
      </w:r>
      <w:r>
        <w:t xml:space="preserve">- Quarterly scenario probability update based on Bayesian updating of trigger data</w:t>
      </w:r>
      <w:r>
        <w:t xml:space="preserve"> </w:t>
      </w:r>
      <w:r>
        <w:t xml:space="preserve">- Investment: Low-Medium (~CHF 800K setup + CHF 200K/year maintenance)</w:t>
      </w:r>
    </w:p>
    <w:p>
      <w:pPr>
        <w:pStyle w:val="BodyText"/>
      </w:pPr>
      <w:r>
        <w:rPr>
          <w:bCs/>
          <w:b/>
        </w:rPr>
        <w:t xml:space="preserve">NR3: AI-Mediated Discovery Pilot (F5)</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Scenario Robustness (ρ)</w:t>
            </w:r>
          </w:p>
        </w:tc>
        <w:tc>
          <w:tcPr/>
          <w:p>
            <w:pPr>
              <w:pStyle w:val="Compact"/>
              <w:jc w:val="left"/>
            </w:pPr>
            <w:r>
              <w:t xml:space="preserve">0.80</w:t>
            </w:r>
          </w:p>
        </w:tc>
        <w:tc>
          <w:tcPr/>
          <w:p>
            <w:pPr>
              <w:pStyle w:val="Compact"/>
              <w:jc w:val="left"/>
            </w:pPr>
            <w:r>
              <w:t xml:space="preserve">Critical in S1, important in S2, moderate in S3</w:t>
            </w:r>
          </w:p>
        </w:tc>
      </w:tr>
      <w:tr>
        <w:tc>
          <w:tcPr/>
          <w:p>
            <w:pPr>
              <w:pStyle w:val="Compact"/>
              <w:jc w:val="left"/>
            </w:pPr>
            <w:r>
              <w:t xml:space="preserve">Minimum Value (V_min)</w:t>
            </w:r>
          </w:p>
        </w:tc>
        <w:tc>
          <w:tcPr/>
          <w:p>
            <w:pPr>
              <w:pStyle w:val="Compact"/>
              <w:jc w:val="left"/>
            </w:pPr>
            <w:r>
              <w:t xml:space="preserve">0.60</w:t>
            </w:r>
          </w:p>
        </w:tc>
        <w:tc>
          <w:tcPr/>
          <w:p>
            <w:pPr>
              <w:pStyle w:val="Compact"/>
              <w:jc w:val="left"/>
            </w:pPr>
            <w:r>
              <w:t xml:space="preserve">Even in S3, learning about AI recommendation dynamics has value</w:t>
            </w:r>
          </w:p>
        </w:tc>
      </w:tr>
      <w:tr>
        <w:tc>
          <w:tcPr/>
          <w:p>
            <w:pPr>
              <w:pStyle w:val="Compact"/>
              <w:jc w:val="left"/>
            </w:pPr>
            <w:r>
              <w:t xml:space="preserve">Option Value (O)</w:t>
            </w:r>
          </w:p>
        </w:tc>
        <w:tc>
          <w:tcPr/>
          <w:p>
            <w:pPr>
              <w:pStyle w:val="Compact"/>
              <w:jc w:val="left"/>
            </w:pPr>
            <w:r>
              <w:t xml:space="preserve">0.90</w:t>
            </w:r>
          </w:p>
        </w:tc>
        <w:tc>
          <w:tcPr/>
          <w:p>
            <w:pPr>
              <w:pStyle w:val="Compact"/>
              <w:jc w:val="left"/>
            </w:pPr>
            <w:r>
              <w:t xml:space="preserve">Generates critical insight about new channel emergence</w:t>
            </w:r>
          </w:p>
        </w:tc>
      </w:tr>
      <w:tr>
        <w:tc>
          <w:tcPr/>
          <w:p>
            <w:pPr>
              <w:pStyle w:val="Compact"/>
              <w:jc w:val="left"/>
            </w:pPr>
            <w:r>
              <w:t xml:space="preserve">Reversibility (r)</w:t>
            </w:r>
          </w:p>
        </w:tc>
        <w:tc>
          <w:tcPr/>
          <w:p>
            <w:pPr>
              <w:pStyle w:val="Compact"/>
              <w:jc w:val="left"/>
            </w:pPr>
            <w:r>
              <w:t xml:space="preserve">0.75</w:t>
            </w:r>
          </w:p>
        </w:tc>
        <w:tc>
          <w:tcPr/>
          <w:p>
            <w:pPr>
              <w:pStyle w:val="Compact"/>
              <w:jc w:val="left"/>
            </w:pPr>
            <w:r>
              <w:t xml:space="preserve">Pilot can be discontinued; learnings persist</w:t>
            </w:r>
          </w:p>
        </w:tc>
      </w:tr>
      <w:tr>
        <w:tc>
          <w:tcPr/>
          <w:p>
            <w:pPr>
              <w:pStyle w:val="Compact"/>
              <w:jc w:val="left"/>
            </w:pPr>
            <w:r>
              <w:t xml:space="preserve">Learning Value (L)</w:t>
            </w:r>
          </w:p>
        </w:tc>
        <w:tc>
          <w:tcPr/>
          <w:p>
            <w:pPr>
              <w:pStyle w:val="Compact"/>
              <w:jc w:val="left"/>
            </w:pPr>
            <w:r>
              <w:t xml:space="preserve">0.85</w:t>
            </w:r>
          </w:p>
        </w:tc>
        <w:tc>
          <w:tcPr/>
          <w:p>
            <w:pPr>
              <w:pStyle w:val="Compact"/>
              <w:jc w:val="left"/>
            </w:pPr>
            <w:r>
              <w:t xml:space="preserve">Reveals how AI assistants treat financial services content</w:t>
            </w:r>
          </w:p>
        </w:tc>
      </w:tr>
      <w:tr>
        <w:tc>
          <w:tcPr/>
          <w:p>
            <w:pPr>
              <w:pStyle w:val="Compact"/>
              <w:jc w:val="left"/>
            </w:pPr>
            <w:r>
              <w:rPr>
                <w:bCs/>
                <w:b/>
              </w:rPr>
              <w:t xml:space="preserve">NR Score</w:t>
            </w:r>
          </w:p>
        </w:tc>
        <w:tc>
          <w:tcPr/>
          <w:p>
            <w:pPr>
              <w:pStyle w:val="Compact"/>
              <w:jc w:val="left"/>
            </w:pPr>
            <w:r>
              <w:rPr>
                <w:bCs/>
                <w:b/>
              </w:rPr>
              <w:t xml:space="preserve">1.30 [1.06, 1.52]</w:t>
            </w:r>
          </w:p>
        </w:tc>
        <w:tc>
          <w:tcPr/>
          <w:p>
            <w:pPr>
              <w:pStyle w:val="Compact"/>
            </w:pPr>
          </w:p>
        </w:tc>
      </w:tr>
    </w:tbl>
    <w:p>
      <w:pPr>
        <w:pStyle w:val="BodyText"/>
      </w:pPr>
      <w:r>
        <w:rPr>
          <w:iCs/>
          <w:i/>
        </w:rPr>
        <w:t xml:space="preserve">Pilot Design:</w:t>
      </w:r>
      <w:r>
        <w:t xml:space="preserve"> </w:t>
      </w:r>
      <w:r>
        <w:t xml:space="preserve">- 500 test queries across ChatGPT, Gemini, Copilot, Perplexity</w:t>
      </w:r>
      <w:r>
        <w:t xml:space="preserve"> </w:t>
      </w:r>
      <w:r>
        <w:t xml:space="preserve">- Measure UBS mention rate, recommendation quality, competitor comparison</w:t>
      </w:r>
      <w:r>
        <w:t xml:space="preserve"> </w:t>
      </w:r>
      <w:r>
        <w:t xml:space="preserve">- Test different content optimization strategies for AI recommendation</w:t>
      </w:r>
      <w:r>
        <w:t xml:space="preserve"> </w:t>
      </w:r>
      <w:r>
        <w:t xml:space="preserve">- Approval threshold: 65% positive mention rate required for scaling</w:t>
      </w:r>
      <w:r>
        <w:t xml:space="preserve"> </w:t>
      </w:r>
      <w:r>
        <w:t xml:space="preserve">- Investment: Medium (~CHF 1.5M for comprehensive pilot)</w:t>
      </w:r>
      <w:r>
        <w:t xml:space="preserve"> </w:t>
      </w:r>
      <w:r>
        <w:t xml:space="preserve">- Timeline: Q2–Q4 2026</w:t>
      </w:r>
    </w:p>
    <w:p>
      <w:pPr>
        <w:pStyle w:val="BodyText"/>
      </w:pPr>
      <w:r>
        <w:rPr>
          <w:bCs/>
          <w:b/>
        </w:rPr>
        <w:t xml:space="preserve">NR4: Customer Intelligence AI Platform (F3)</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Scenario Robustness (ρ)</w:t>
            </w:r>
          </w:p>
        </w:tc>
        <w:tc>
          <w:tcPr/>
          <w:p>
            <w:pPr>
              <w:pStyle w:val="Compact"/>
              <w:jc w:val="left"/>
            </w:pPr>
            <w:r>
              <w:t xml:space="preserve">0.85</w:t>
            </w:r>
          </w:p>
        </w:tc>
        <w:tc>
          <w:tcPr/>
          <w:p>
            <w:pPr>
              <w:pStyle w:val="Compact"/>
              <w:jc w:val="left"/>
            </w:pPr>
            <w:r>
              <w:t xml:space="preserve">Data advantage matters in every scenario</w:t>
            </w:r>
          </w:p>
        </w:tc>
      </w:tr>
      <w:tr>
        <w:tc>
          <w:tcPr/>
          <w:p>
            <w:pPr>
              <w:pStyle w:val="Compact"/>
              <w:jc w:val="left"/>
            </w:pPr>
            <w:r>
              <w:t xml:space="preserve">Minimum Value (V_min)</w:t>
            </w:r>
          </w:p>
        </w:tc>
        <w:tc>
          <w:tcPr/>
          <w:p>
            <w:pPr>
              <w:pStyle w:val="Compact"/>
              <w:jc w:val="left"/>
            </w:pPr>
            <w:r>
              <w:t xml:space="preserve">0.70</w:t>
            </w:r>
          </w:p>
        </w:tc>
        <w:tc>
          <w:tcPr/>
          <w:p>
            <w:pPr>
              <w:pStyle w:val="Compact"/>
              <w:jc w:val="left"/>
            </w:pPr>
            <w:r>
              <w:t xml:space="preserve">Even in S3, better customer understanding improves advisory</w:t>
            </w:r>
          </w:p>
        </w:tc>
      </w:tr>
      <w:tr>
        <w:tc>
          <w:tcPr/>
          <w:p>
            <w:pPr>
              <w:pStyle w:val="Compact"/>
              <w:jc w:val="left"/>
            </w:pPr>
            <w:r>
              <w:t xml:space="preserve">Option Value (O)</w:t>
            </w:r>
          </w:p>
        </w:tc>
        <w:tc>
          <w:tcPr/>
          <w:p>
            <w:pPr>
              <w:pStyle w:val="Compact"/>
              <w:jc w:val="left"/>
            </w:pPr>
            <w:r>
              <w:t xml:space="preserve">0.80</w:t>
            </w:r>
          </w:p>
        </w:tc>
        <w:tc>
          <w:tcPr/>
          <w:p>
            <w:pPr>
              <w:pStyle w:val="Compact"/>
              <w:jc w:val="left"/>
            </w:pPr>
            <w:r>
              <w:t xml:space="preserve">Creates capabilities that enable multiple future strategies</w:t>
            </w:r>
          </w:p>
        </w:tc>
      </w:tr>
      <w:tr>
        <w:tc>
          <w:tcPr/>
          <w:p>
            <w:pPr>
              <w:pStyle w:val="Compact"/>
              <w:jc w:val="left"/>
            </w:pPr>
            <w:r>
              <w:t xml:space="preserve">Reversibility (r)</w:t>
            </w:r>
          </w:p>
        </w:tc>
        <w:tc>
          <w:tcPr/>
          <w:p>
            <w:pPr>
              <w:pStyle w:val="Compact"/>
              <w:jc w:val="left"/>
            </w:pPr>
            <w:r>
              <w:t xml:space="preserve">0.60</w:t>
            </w:r>
          </w:p>
        </w:tc>
        <w:tc>
          <w:tcPr/>
          <w:p>
            <w:pPr>
              <w:pStyle w:val="Compact"/>
              <w:jc w:val="left"/>
            </w:pPr>
            <w:r>
              <w:t xml:space="preserve">Significant investment, but platform has multiple applications</w:t>
            </w:r>
          </w:p>
        </w:tc>
      </w:tr>
      <w:tr>
        <w:tc>
          <w:tcPr/>
          <w:p>
            <w:pPr>
              <w:pStyle w:val="Compact"/>
              <w:jc w:val="left"/>
            </w:pPr>
            <w:r>
              <w:t xml:space="preserve">Learning Value (L)</w:t>
            </w:r>
          </w:p>
        </w:tc>
        <w:tc>
          <w:tcPr/>
          <w:p>
            <w:pPr>
              <w:pStyle w:val="Compact"/>
              <w:jc w:val="left"/>
            </w:pPr>
            <w:r>
              <w:t xml:space="preserve">0.80</w:t>
            </w:r>
          </w:p>
        </w:tc>
        <w:tc>
          <w:tcPr/>
          <w:p>
            <w:pPr>
              <w:pStyle w:val="Compact"/>
              <w:jc w:val="left"/>
            </w:pPr>
            <w:r>
              <w:t xml:space="preserve">Reveals behavioral patterns across 3.7M clients</w:t>
            </w:r>
          </w:p>
        </w:tc>
      </w:tr>
      <w:tr>
        <w:tc>
          <w:tcPr/>
          <w:p>
            <w:pPr>
              <w:pStyle w:val="Compact"/>
              <w:jc w:val="left"/>
            </w:pPr>
            <w:r>
              <w:rPr>
                <w:bCs/>
                <w:b/>
              </w:rPr>
              <w:t xml:space="preserve">NR Score</w:t>
            </w:r>
          </w:p>
        </w:tc>
        <w:tc>
          <w:tcPr/>
          <w:p>
            <w:pPr>
              <w:pStyle w:val="Compact"/>
              <w:jc w:val="left"/>
            </w:pPr>
            <w:r>
              <w:rPr>
                <w:bCs/>
                <w:b/>
              </w:rPr>
              <w:t xml:space="preserve">1.19 [0.97, 1.41]</w:t>
            </w:r>
          </w:p>
        </w:tc>
        <w:tc>
          <w:tcPr/>
          <w:p>
            <w:pPr>
              <w:pStyle w:val="Compact"/>
              <w:jc w:val="left"/>
            </w:pPr>
            <w:r>
              <w:rPr>
                <w:bCs/>
                <w:b/>
              </w:rPr>
              <w:t xml:space="preserve">Must-Win capability</w:t>
            </w:r>
          </w:p>
        </w:tc>
      </w:tr>
    </w:tbl>
    <w:p>
      <w:pPr>
        <w:pStyle w:val="BodyText"/>
      </w:pPr>
      <w:r>
        <w:rPr>
          <w:iCs/>
          <w:i/>
        </w:rPr>
        <w:t xml:space="preserve">Design:</w:t>
      </w:r>
      <w:r>
        <w:t xml:space="preserve"> </w:t>
      </w:r>
      <w:r>
        <w:t xml:space="preserve">- Unified behavioral data platform (post-CS data integration)</w:t>
      </w:r>
      <w:r>
        <w:t xml:space="preserve"> </w:t>
      </w:r>
      <w:r>
        <w:t xml:space="preserve">- AI-powered behavioral segmentation (beyond demographics to decision patterns)</w:t>
      </w:r>
      <w:r>
        <w:t xml:space="preserve"> </w:t>
      </w:r>
      <w:r>
        <w:t xml:space="preserve">- Predictive analytics for churn, cross-sell, and lifetime value</w:t>
      </w:r>
      <w:r>
        <w:t xml:space="preserve"> </w:t>
      </w:r>
      <w:r>
        <w:t xml:space="preserve">- Real-time customer insight dashboard for advisors and marketing teams</w:t>
      </w:r>
      <w:r>
        <w:t xml:space="preserve"> </w:t>
      </w:r>
      <w:r>
        <w:t xml:space="preserve">- Investment: High (~CHF 15–25M over 18 months)</w:t>
      </w:r>
      <w:r>
        <w:t xml:space="preserve"> </w:t>
      </w:r>
      <w:r>
        <w:t xml:space="preserve">- Timeline: Q3 2026 – Q2 2027</w:t>
      </w:r>
    </w:p>
    <w:p>
      <w:pPr>
        <w:pStyle w:val="BodyText"/>
      </w:pPr>
      <w:r>
        <w:rPr>
          <w:bCs/>
          <w:b/>
        </w:rPr>
        <w:t xml:space="preserve">NR5: AI Ethics &amp; Governance Framework</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Scenario Robustness (ρ)</w:t>
            </w:r>
          </w:p>
        </w:tc>
        <w:tc>
          <w:tcPr/>
          <w:p>
            <w:pPr>
              <w:pStyle w:val="Compact"/>
              <w:jc w:val="left"/>
            </w:pPr>
            <w:r>
              <w:t xml:space="preserve">0.90</w:t>
            </w:r>
          </w:p>
        </w:tc>
        <w:tc>
          <w:tcPr/>
          <w:p>
            <w:pPr>
              <w:pStyle w:val="Compact"/>
              <w:jc w:val="left"/>
            </w:pPr>
            <w:r>
              <w:t xml:space="preserve">Essential in all scenarios; critical in S3 (trust narrative)</w:t>
            </w:r>
          </w:p>
        </w:tc>
      </w:tr>
      <w:tr>
        <w:tc>
          <w:tcPr/>
          <w:p>
            <w:pPr>
              <w:pStyle w:val="Compact"/>
              <w:jc w:val="left"/>
            </w:pPr>
            <w:r>
              <w:t xml:space="preserve">Minimum Value (V_min)</w:t>
            </w:r>
          </w:p>
        </w:tc>
        <w:tc>
          <w:tcPr/>
          <w:p>
            <w:pPr>
              <w:pStyle w:val="Compact"/>
              <w:jc w:val="left"/>
            </w:pPr>
            <w:r>
              <w:t xml:space="preserve">0.65</w:t>
            </w:r>
          </w:p>
        </w:tc>
        <w:tc>
          <w:tcPr/>
          <w:p>
            <w:pPr>
              <w:pStyle w:val="Compact"/>
              <w:jc w:val="left"/>
            </w:pPr>
            <w:r>
              <w:t xml:space="preserve">Provides compliance foundation and trust signal</w:t>
            </w:r>
          </w:p>
        </w:tc>
      </w:tr>
      <w:tr>
        <w:tc>
          <w:tcPr/>
          <w:p>
            <w:pPr>
              <w:pStyle w:val="Compact"/>
              <w:jc w:val="left"/>
            </w:pPr>
            <w:r>
              <w:t xml:space="preserve">Option Value (O)</w:t>
            </w:r>
          </w:p>
        </w:tc>
        <w:tc>
          <w:tcPr/>
          <w:p>
            <w:pPr>
              <w:pStyle w:val="Compact"/>
              <w:jc w:val="left"/>
            </w:pPr>
            <w:r>
              <w:t xml:space="preserve">0.70</w:t>
            </w:r>
          </w:p>
        </w:tc>
        <w:tc>
          <w:tcPr/>
          <w:p>
            <w:pPr>
              <w:pStyle w:val="Compact"/>
              <w:jc w:val="left"/>
            </w:pPr>
            <w:r>
              <w:t xml:space="preserve">Enables faster AI deployment by pre-clearing governance</w:t>
            </w:r>
          </w:p>
        </w:tc>
      </w:tr>
      <w:tr>
        <w:tc>
          <w:tcPr/>
          <w:p>
            <w:pPr>
              <w:pStyle w:val="Compact"/>
              <w:jc w:val="left"/>
            </w:pPr>
            <w:r>
              <w:t xml:space="preserve">Reversibility (r)</w:t>
            </w:r>
          </w:p>
        </w:tc>
        <w:tc>
          <w:tcPr/>
          <w:p>
            <w:pPr>
              <w:pStyle w:val="Compact"/>
              <w:jc w:val="left"/>
            </w:pPr>
            <w:r>
              <w:t xml:space="preserve">0.95</w:t>
            </w:r>
          </w:p>
        </w:tc>
        <w:tc>
          <w:tcPr/>
          <w:p>
            <w:pPr>
              <w:pStyle w:val="Compact"/>
              <w:jc w:val="left"/>
            </w:pPr>
            <w:r>
              <w:t xml:space="preserve">Framework can evolve; principles persist</w:t>
            </w:r>
          </w:p>
        </w:tc>
      </w:tr>
      <w:tr>
        <w:tc>
          <w:tcPr/>
          <w:p>
            <w:pPr>
              <w:pStyle w:val="Compact"/>
              <w:jc w:val="left"/>
            </w:pPr>
            <w:r>
              <w:t xml:space="preserve">Learning Value (L)</w:t>
            </w:r>
          </w:p>
        </w:tc>
        <w:tc>
          <w:tcPr/>
          <w:p>
            <w:pPr>
              <w:pStyle w:val="Compact"/>
              <w:jc w:val="left"/>
            </w:pPr>
            <w:r>
              <w:t xml:space="preserve">0.60</w:t>
            </w:r>
          </w:p>
        </w:tc>
        <w:tc>
          <w:tcPr/>
          <w:p>
            <w:pPr>
              <w:pStyle w:val="Compact"/>
              <w:jc w:val="left"/>
            </w:pPr>
            <w:r>
              <w:t xml:space="preserve">Reveals regulatory expectations and organizational readiness</w:t>
            </w:r>
          </w:p>
        </w:tc>
      </w:tr>
      <w:tr>
        <w:tc>
          <w:tcPr/>
          <w:p>
            <w:pPr>
              <w:pStyle w:val="Compact"/>
              <w:jc w:val="left"/>
            </w:pPr>
            <w:r>
              <w:rPr>
                <w:bCs/>
                <w:b/>
              </w:rPr>
              <w:t xml:space="preserve">NR Score</w:t>
            </w:r>
          </w:p>
        </w:tc>
        <w:tc>
          <w:tcPr/>
          <w:p>
            <w:pPr>
              <w:pStyle w:val="Compact"/>
              <w:jc w:val="left"/>
            </w:pPr>
            <w:r>
              <w:rPr>
                <w:bCs/>
                <w:b/>
              </w:rPr>
              <w:t xml:space="preserve">1.23 [0.99, 1.45]</w:t>
            </w:r>
          </w:p>
        </w:tc>
        <w:tc>
          <w:tcPr/>
          <w:p>
            <w:pPr>
              <w:pStyle w:val="Compact"/>
            </w:pPr>
          </w:p>
        </w:tc>
      </w:tr>
    </w:tbl>
    <w:p>
      <w:pPr>
        <w:pStyle w:val="BodyText"/>
      </w:pPr>
      <w:r>
        <w:rPr>
          <w:iCs/>
          <w:i/>
        </w:rPr>
        <w:t xml:space="preserve">Design:</w:t>
      </w:r>
      <w:r>
        <w:t xml:space="preserve"> </w:t>
      </w:r>
      <w:r>
        <w:t xml:space="preserve">- Formal AI marketing ethics policy</w:t>
      </w:r>
      <w:r>
        <w:t xml:space="preserve"> </w:t>
      </w:r>
      <w:r>
        <w:t xml:space="preserve">- AI Marketing Ethics Officer appointment</w:t>
      </w:r>
      <w:r>
        <w:t xml:space="preserve"> </w:t>
      </w:r>
      <w:r>
        <w:t xml:space="preserve">- Compliance pre-screening AI for marketing content</w:t>
      </w:r>
      <w:r>
        <w:t xml:space="preserve"> </w:t>
      </w:r>
      <w:r>
        <w:t xml:space="preserve">- Regular AI bias audits</w:t>
      </w:r>
      <w:r>
        <w:t xml:space="preserve"> </w:t>
      </w:r>
      <w:r>
        <w:t xml:space="preserve">- Proactive FINMA engagement on AI marketing guidelines</w:t>
      </w:r>
      <w:r>
        <w:t xml:space="preserve"> </w:t>
      </w:r>
      <w:r>
        <w:t xml:space="preserve">- Investment: Low (~CHF 400K)</w:t>
      </w:r>
      <w:r>
        <w:t xml:space="preserve"> </w:t>
      </w:r>
      <w:r>
        <w:t xml:space="preserve">- Timeline: Q2 2026</w:t>
      </w:r>
    </w:p>
    <w:p>
      <w:pPr>
        <w:pStyle w:val="BodyText"/>
      </w:pPr>
      <w:r>
        <w:rPr>
          <w:bCs/>
          <w:b/>
        </w:rPr>
        <w:t xml:space="preserve">NR6: SEG-CS-MIGRATED Trust Rebuilding with AI</w:t>
      </w:r>
    </w:p>
    <w:tbl>
      <w:tblPr>
        <w:tblStyle w:val="Table"/>
        <w:tblW w:type="pct" w:w="5000"/>
        <w:tblLook w:firstRow="1" w:lastRow="0" w:firstColumn="0" w:lastColumn="0" w:noHBand="0" w:noVBand="0" w:val="0020"/>
        <w:jc w:val="start"/>
      </w:tblPr>
      <w:tblGrid>
        <w:gridCol w:w="3004"/>
        <w:gridCol w:w="1911"/>
        <w:gridCol w:w="3004"/>
      </w:tblGrid>
      <w:tr>
        <w:trPr>
          <w:tblHeader w:val="true"/>
        </w:trPr>
        <w:tc>
          <w:tcPr/>
          <w:p>
            <w:pPr>
              <w:pStyle w:val="Compact"/>
              <w:jc w:val="left"/>
            </w:pPr>
            <w:r>
              <w:t xml:space="preserve">Dimension</w:t>
            </w:r>
          </w:p>
        </w:tc>
        <w:tc>
          <w:tcPr/>
          <w:p>
            <w:pPr>
              <w:pStyle w:val="Compact"/>
              <w:jc w:val="left"/>
            </w:pPr>
            <w:r>
              <w:t xml:space="preserve">Score</w:t>
            </w:r>
          </w:p>
        </w:tc>
        <w:tc>
          <w:tcPr/>
          <w:p>
            <w:pPr>
              <w:pStyle w:val="Compact"/>
              <w:jc w:val="left"/>
            </w:pPr>
            <w:r>
              <w:t xml:space="preserve">Rationale</w:t>
            </w:r>
          </w:p>
        </w:tc>
      </w:tr>
      <w:tr>
        <w:tc>
          <w:tcPr/>
          <w:p>
            <w:pPr>
              <w:pStyle w:val="Compact"/>
              <w:jc w:val="left"/>
            </w:pPr>
            <w:r>
              <w:t xml:space="preserve">Scenario Robustness (ρ)</w:t>
            </w:r>
          </w:p>
        </w:tc>
        <w:tc>
          <w:tcPr/>
          <w:p>
            <w:pPr>
              <w:pStyle w:val="Compact"/>
              <w:jc w:val="left"/>
            </w:pPr>
            <w:r>
              <w:t xml:space="preserve">0.75</w:t>
            </w:r>
          </w:p>
        </w:tc>
        <w:tc>
          <w:tcPr/>
          <w:p>
            <w:pPr>
              <w:pStyle w:val="Compact"/>
              <w:jc w:val="left"/>
            </w:pPr>
            <w:r>
              <w:t xml:space="preserve">Important in all scenarios but magnitude varies</w:t>
            </w:r>
          </w:p>
        </w:tc>
      </w:tr>
      <w:tr>
        <w:tc>
          <w:tcPr/>
          <w:p>
            <w:pPr>
              <w:pStyle w:val="Compact"/>
              <w:jc w:val="left"/>
            </w:pPr>
            <w:r>
              <w:t xml:space="preserve">Minimum Value (V_min)</w:t>
            </w:r>
          </w:p>
        </w:tc>
        <w:tc>
          <w:tcPr/>
          <w:p>
            <w:pPr>
              <w:pStyle w:val="Compact"/>
              <w:jc w:val="left"/>
            </w:pPr>
            <w:r>
              <w:t xml:space="preserve">0.70</w:t>
            </w:r>
          </w:p>
        </w:tc>
        <w:tc>
          <w:tcPr/>
          <w:p>
            <w:pPr>
              <w:pStyle w:val="Compact"/>
              <w:jc w:val="left"/>
            </w:pPr>
            <w:r>
              <w:t xml:space="preserve">Retention of 807K at-risk clients is always valuable</w:t>
            </w:r>
          </w:p>
        </w:tc>
      </w:tr>
      <w:tr>
        <w:tc>
          <w:tcPr/>
          <w:p>
            <w:pPr>
              <w:pStyle w:val="Compact"/>
              <w:jc w:val="left"/>
            </w:pPr>
            <w:r>
              <w:t xml:space="preserve">Option Value (O)</w:t>
            </w:r>
          </w:p>
        </w:tc>
        <w:tc>
          <w:tcPr/>
          <w:p>
            <w:pPr>
              <w:pStyle w:val="Compact"/>
              <w:jc w:val="left"/>
            </w:pPr>
            <w:r>
              <w:t xml:space="preserve">0.60</w:t>
            </w:r>
          </w:p>
        </w:tc>
        <w:tc>
          <w:tcPr/>
          <w:p>
            <w:pPr>
              <w:pStyle w:val="Compact"/>
              <w:jc w:val="left"/>
            </w:pPr>
            <w:r>
              <w:t xml:space="preserve">Limited optionality — focused intervention</w:t>
            </w:r>
          </w:p>
        </w:tc>
      </w:tr>
      <w:tr>
        <w:tc>
          <w:tcPr/>
          <w:p>
            <w:pPr>
              <w:pStyle w:val="Compact"/>
              <w:jc w:val="left"/>
            </w:pPr>
            <w:r>
              <w:t xml:space="preserve">Reversibility (r)</w:t>
            </w:r>
          </w:p>
        </w:tc>
        <w:tc>
          <w:tcPr/>
          <w:p>
            <w:pPr>
              <w:pStyle w:val="Compact"/>
              <w:jc w:val="left"/>
            </w:pPr>
            <w:r>
              <w:t xml:space="preserve">0.70</w:t>
            </w:r>
          </w:p>
        </w:tc>
        <w:tc>
          <w:tcPr/>
          <w:p>
            <w:pPr>
              <w:pStyle w:val="Compact"/>
              <w:jc w:val="left"/>
            </w:pPr>
            <w:r>
              <w:t xml:space="preserve">Can scale up or down based on NPS trajectory</w:t>
            </w:r>
          </w:p>
        </w:tc>
      </w:tr>
      <w:tr>
        <w:tc>
          <w:tcPr/>
          <w:p>
            <w:pPr>
              <w:pStyle w:val="Compact"/>
              <w:jc w:val="left"/>
            </w:pPr>
            <w:r>
              <w:t xml:space="preserve">Learning Value (L)</w:t>
            </w:r>
          </w:p>
        </w:tc>
        <w:tc>
          <w:tcPr/>
          <w:p>
            <w:pPr>
              <w:pStyle w:val="Compact"/>
              <w:jc w:val="left"/>
            </w:pPr>
            <w:r>
              <w:t xml:space="preserve">0.75</w:t>
            </w:r>
          </w:p>
        </w:tc>
        <w:tc>
          <w:tcPr/>
          <w:p>
            <w:pPr>
              <w:pStyle w:val="Compact"/>
              <w:jc w:val="left"/>
            </w:pPr>
            <w:r>
              <w:t xml:space="preserve">Reveals trust dynamics of forced migration clients</w:t>
            </w:r>
          </w:p>
        </w:tc>
      </w:tr>
      <w:tr>
        <w:tc>
          <w:tcPr/>
          <w:p>
            <w:pPr>
              <w:pStyle w:val="Compact"/>
              <w:jc w:val="left"/>
            </w:pPr>
            <w:r>
              <w:rPr>
                <w:bCs/>
                <w:b/>
              </w:rPr>
              <w:t xml:space="preserve">NR Score</w:t>
            </w:r>
          </w:p>
        </w:tc>
        <w:tc>
          <w:tcPr/>
          <w:p>
            <w:pPr>
              <w:pStyle w:val="Compact"/>
              <w:jc w:val="left"/>
            </w:pPr>
            <w:r>
              <w:rPr>
                <w:bCs/>
                <w:b/>
              </w:rPr>
              <w:t xml:space="preserve">1.20 [0.97, 1.42]</w:t>
            </w:r>
          </w:p>
        </w:tc>
        <w:tc>
          <w:tcPr/>
          <w:p>
            <w:pPr>
              <w:pStyle w:val="Compact"/>
              <w:jc w:val="left"/>
            </w:pPr>
            <w:r>
              <w:rPr>
                <w:bCs/>
                <w:b/>
              </w:rPr>
              <w:t xml:space="preserve">URGENT: τ = 0.55 is dangerously low</w:t>
            </w:r>
          </w:p>
        </w:tc>
      </w:tr>
    </w:tbl>
    <w:p>
      <w:pPr>
        <w:pStyle w:val="BodyText"/>
      </w:pPr>
      <w:r>
        <w:rPr>
          <w:iCs/>
          <w:i/>
        </w:rPr>
        <w:t xml:space="preserve">Design:</w:t>
      </w:r>
      <w:r>
        <w:t xml:space="preserve"> </w:t>
      </w:r>
      <w:r>
        <w:t xml:space="preserve">- AI-powered personalized welcome campaign for CS-migrated clients</w:t>
      </w:r>
      <w:r>
        <w:t xml:space="preserve"> </w:t>
      </w:r>
      <w:r>
        <w:t xml:space="preserve">- Proactive advisor outreach prioritized by predicted flight risk</w:t>
      </w:r>
      <w:r>
        <w:t xml:space="preserve"> </w:t>
      </w:r>
      <w:r>
        <w:t xml:space="preserve">- Tailored product recommendations leveraging CS relationship history</w:t>
      </w:r>
      <w:r>
        <w:t xml:space="preserve"> </w:t>
      </w:r>
      <w:r>
        <w:t xml:space="preserve">- NPS tracking with monthly cadence for this segment</w:t>
      </w:r>
      <w:r>
        <w:t xml:space="preserve"> </w:t>
      </w:r>
      <w:r>
        <w:t xml:space="preserve">- Quick wins: immediate service quality improvements (response time, issue resolution)</w:t>
      </w:r>
      <w:r>
        <w:t xml:space="preserve"> </w:t>
      </w:r>
      <w:r>
        <w:t xml:space="preserve">- Investment: Medium (~CHF 3–5M)</w:t>
      </w:r>
      <w:r>
        <w:t xml:space="preserve"> </w:t>
      </w:r>
      <w:r>
        <w:t xml:space="preserve">- Timeline: Q2–Q3 2026</w:t>
      </w:r>
    </w:p>
    <w:bookmarkEnd w:id="103"/>
    <w:bookmarkStart w:id="104" w:name="X71896af75a7180e747bbdf9cd4539c3a205b751"/>
    <w:p>
      <w:pPr>
        <w:pStyle w:val="Heading3"/>
      </w:pPr>
      <w:r>
        <w:t xml:space="preserve">No-Regret Robustness: Monte Carlo Confirmation</w:t>
      </w:r>
    </w:p>
    <w:p>
      <w:pPr>
        <w:pStyle w:val="FirstParagraph"/>
      </w:pPr>
      <w:r>
        <w:t xml:space="preserve">All six no-regret moves exceed the 0.80 threshold in 100% of 10,000 Monte Carlo simulations. This is an extraordinary result — it means the classification as</w:t>
      </w:r>
      <w:r>
        <w:t xml:space="preserve"> </w:t>
      </w:r>
      <w:r>
        <w:t xml:space="preserve">“</w:t>
      </w:r>
      <w:r>
        <w:t xml:space="preserve">no-regret</w:t>
      </w:r>
      <w:r>
        <w:t xml:space="preserve">”</w:t>
      </w:r>
      <w:r>
        <w:t xml:space="preserve"> </w:t>
      </w:r>
      <w:r>
        <w:t xml:space="preserve">is not sensitive to any reasonable parameter variation.</w:t>
      </w:r>
    </w:p>
    <w:p>
      <w:pPr>
        <w:pStyle w:val="BodyText"/>
      </w:pPr>
      <w:r>
        <w:t xml:space="preserve">The priority ranking is also stable:</w:t>
      </w:r>
      <w:r>
        <w:t xml:space="preserve"> </w:t>
      </w:r>
      <w:r>
        <w:t xml:space="preserve">- NR1 + NR2 are clear leaders (rank #1 or #2 in 99.6% of simulations)</w:t>
      </w:r>
      <w:r>
        <w:t xml:space="preserve"> </w:t>
      </w:r>
      <w:r>
        <w:t xml:space="preserve">- NR3–NR6 form a second tier with more variable ordering</w:t>
      </w:r>
    </w:p>
    <w:bookmarkEnd w:id="104"/>
    <w:bookmarkEnd w:id="105"/>
    <w:bookmarkStart w:id="109" w:name="part-b-scenario-specific-roadmaps"/>
    <w:p>
      <w:pPr>
        <w:pStyle w:val="Heading2"/>
      </w:pPr>
      <w:r>
        <w:t xml:space="preserve">6.2 Part B: Scenario-Specific Roadmaps</w:t>
      </w:r>
    </w:p>
    <w:bookmarkStart w:id="106" w:name="s1-specific-strategy-platform-first"/>
    <w:p>
      <w:pPr>
        <w:pStyle w:val="Heading3"/>
      </w:pPr>
      <w:r>
        <w:t xml:space="preserve">S1-Specific Strategy:</w:t>
      </w:r>
      <w:r>
        <w:t xml:space="preserve"> </w:t>
      </w:r>
      <w:r>
        <w:t xml:space="preserve">“</w:t>
      </w:r>
      <w:r>
        <w:t xml:space="preserve">Platform First</w:t>
      </w:r>
      <w:r>
        <w:t xml:space="preserve">”</w:t>
      </w:r>
    </w:p>
    <w:p>
      <w:pPr>
        <w:pStyle w:val="FirstParagraph"/>
      </w:pPr>
      <w:r>
        <w:t xml:space="preserve">If early warning signals indicate S1 (BigTech Dominance) is emerging:</w:t>
      </w:r>
    </w:p>
    <w:tbl>
      <w:tblPr>
        <w:tblStyle w:val="Table"/>
        <w:tblW w:type="pct" w:w="5000"/>
        <w:tblLook w:firstRow="1" w:lastRow="0" w:firstColumn="0" w:lastColumn="0" w:noHBand="0" w:noVBand="0" w:val="0020"/>
        <w:jc w:val="start"/>
      </w:tblPr>
      <w:tblGrid>
        <w:gridCol w:w="1841"/>
        <w:gridCol w:w="2026"/>
        <w:gridCol w:w="2210"/>
        <w:gridCol w:w="1841"/>
      </w:tblGrid>
      <w:tr>
        <w:trPr>
          <w:tblHeader w:val="true"/>
        </w:trPr>
        <w:tc>
          <w:tcPr/>
          <w:p>
            <w:pPr>
              <w:pStyle w:val="Compact"/>
              <w:jc w:val="left"/>
            </w:pPr>
            <w:r>
              <w:t xml:space="preserve">Priority</w:t>
            </w:r>
          </w:p>
        </w:tc>
        <w:tc>
          <w:tcPr/>
          <w:p>
            <w:pPr>
              <w:pStyle w:val="Compact"/>
              <w:jc w:val="left"/>
            </w:pPr>
            <w:r>
              <w:t xml:space="preserve">Initiative</w:t>
            </w:r>
          </w:p>
        </w:tc>
        <w:tc>
          <w:tcPr/>
          <w:p>
            <w:pPr>
              <w:pStyle w:val="Compact"/>
              <w:jc w:val="left"/>
            </w:pPr>
            <w:r>
              <w:t xml:space="preserve">Investment</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Build API-first marketing infrastructure</w:t>
            </w:r>
          </w:p>
        </w:tc>
        <w:tc>
          <w:tcPr/>
          <w:p>
            <w:pPr>
              <w:pStyle w:val="Compact"/>
              <w:jc w:val="left"/>
            </w:pPr>
            <w:r>
              <w:t xml:space="preserve">High</w:t>
            </w:r>
          </w:p>
        </w:tc>
        <w:tc>
          <w:tcPr/>
          <w:p>
            <w:pPr>
              <w:pStyle w:val="Compact"/>
              <w:jc w:val="left"/>
            </w:pPr>
            <w:r>
              <w:t xml:space="preserve">6–12 months</w:t>
            </w:r>
          </w:p>
        </w:tc>
      </w:tr>
      <w:tr>
        <w:tc>
          <w:tcPr/>
          <w:p>
            <w:pPr>
              <w:pStyle w:val="Compact"/>
              <w:jc w:val="left"/>
            </w:pPr>
            <w:r>
              <w:t xml:space="preserve">2</w:t>
            </w:r>
          </w:p>
        </w:tc>
        <w:tc>
          <w:tcPr/>
          <w:p>
            <w:pPr>
              <w:pStyle w:val="Compact"/>
              <w:jc w:val="left"/>
            </w:pPr>
            <w:r>
              <w:t xml:space="preserve">Negotiate AI platform partnerships (OpenAI, Google, Apple)</w:t>
            </w:r>
          </w:p>
        </w:tc>
        <w:tc>
          <w:tcPr/>
          <w:p>
            <w:pPr>
              <w:pStyle w:val="Compact"/>
              <w:jc w:val="left"/>
            </w:pPr>
            <w:r>
              <w:t xml:space="preserve">Medium</w:t>
            </w:r>
          </w:p>
        </w:tc>
        <w:tc>
          <w:tcPr/>
          <w:p>
            <w:pPr>
              <w:pStyle w:val="Compact"/>
              <w:jc w:val="left"/>
            </w:pPr>
            <w:r>
              <w:t xml:space="preserve">3–6 months</w:t>
            </w:r>
          </w:p>
        </w:tc>
      </w:tr>
      <w:tr>
        <w:tc>
          <w:tcPr/>
          <w:p>
            <w:pPr>
              <w:pStyle w:val="Compact"/>
              <w:jc w:val="left"/>
            </w:pPr>
            <w:r>
              <w:t xml:space="preserve">3</w:t>
            </w:r>
          </w:p>
        </w:tc>
        <w:tc>
          <w:tcPr/>
          <w:p>
            <w:pPr>
              <w:pStyle w:val="Compact"/>
              <w:jc w:val="left"/>
            </w:pPr>
            <w:r>
              <w:t xml:space="preserve">Develop AI-native content strategy</w:t>
            </w:r>
          </w:p>
        </w:tc>
        <w:tc>
          <w:tcPr/>
          <w:p>
            <w:pPr>
              <w:pStyle w:val="Compact"/>
              <w:jc w:val="left"/>
            </w:pPr>
            <w:r>
              <w:t xml:space="preserve">Medium</w:t>
            </w:r>
          </w:p>
        </w:tc>
        <w:tc>
          <w:tcPr/>
          <w:p>
            <w:pPr>
              <w:pStyle w:val="Compact"/>
              <w:jc w:val="left"/>
            </w:pPr>
            <w:r>
              <w:t xml:space="preserve">6–12 months</w:t>
            </w:r>
          </w:p>
        </w:tc>
      </w:tr>
      <w:tr>
        <w:tc>
          <w:tcPr/>
          <w:p>
            <w:pPr>
              <w:pStyle w:val="Compact"/>
              <w:jc w:val="left"/>
            </w:pPr>
            <w:r>
              <w:t xml:space="preserve">4</w:t>
            </w:r>
          </w:p>
        </w:tc>
        <w:tc>
          <w:tcPr/>
          <w:p>
            <w:pPr>
              <w:pStyle w:val="Compact"/>
              <w:jc w:val="left"/>
            </w:pPr>
            <w:r>
              <w:t xml:space="preserve">Invest heavily in data differentiation</w:t>
            </w:r>
          </w:p>
        </w:tc>
        <w:tc>
          <w:tcPr/>
          <w:p>
            <w:pPr>
              <w:pStyle w:val="Compact"/>
              <w:jc w:val="left"/>
            </w:pPr>
            <w:r>
              <w:t xml:space="preserve">Very High</w:t>
            </w:r>
          </w:p>
        </w:tc>
        <w:tc>
          <w:tcPr/>
          <w:p>
            <w:pPr>
              <w:pStyle w:val="Compact"/>
              <w:jc w:val="left"/>
            </w:pPr>
            <w:r>
              <w:t xml:space="preserve">12–24 months</w:t>
            </w:r>
          </w:p>
        </w:tc>
      </w:tr>
      <w:tr>
        <w:tc>
          <w:tcPr/>
          <w:p>
            <w:pPr>
              <w:pStyle w:val="Compact"/>
              <w:jc w:val="left"/>
            </w:pPr>
            <w:r>
              <w:t xml:space="preserve">5</w:t>
            </w:r>
          </w:p>
        </w:tc>
        <w:tc>
          <w:tcPr/>
          <w:p>
            <w:pPr>
              <w:pStyle w:val="Compact"/>
              <w:jc w:val="left"/>
            </w:pPr>
            <w:r>
              <w:t xml:space="preserve">Restructure marketing for algorithm management</w:t>
            </w:r>
          </w:p>
        </w:tc>
        <w:tc>
          <w:tcPr/>
          <w:p>
            <w:pPr>
              <w:pStyle w:val="Compact"/>
              <w:jc w:val="left"/>
            </w:pPr>
            <w:r>
              <w:t xml:space="preserve">High</w:t>
            </w:r>
          </w:p>
        </w:tc>
        <w:tc>
          <w:tcPr/>
          <w:p>
            <w:pPr>
              <w:pStyle w:val="Compact"/>
              <w:jc w:val="left"/>
            </w:pPr>
            <w:r>
              <w:t xml:space="preserve">12–18 months</w:t>
            </w:r>
          </w:p>
        </w:tc>
      </w:tr>
    </w:tbl>
    <w:p>
      <w:pPr>
        <w:pStyle w:val="BodyText"/>
      </w:pPr>
      <w:r>
        <w:rPr>
          <w:bCs/>
          <w:b/>
        </w:rPr>
        <w:t xml:space="preserve">S1 module weights:</w:t>
      </w:r>
      <w:r>
        <w:t xml:space="preserve"> </w:t>
      </w:r>
      <w:r>
        <w:t xml:space="preserve">M1: 35%, M2: 25%, M3: 25%, M4: 15%</w:t>
      </w:r>
    </w:p>
    <w:p>
      <w:pPr>
        <w:pStyle w:val="BodyText"/>
      </w:pPr>
      <w:r>
        <w:t xml:space="preserve">The value chain (M1) receives highest weight because in S1, AI capability determines competitive survival. The organization (M3) is equally critical because new roles (Algorithm Relationship Manager, AI Platform Liaison) become essential.</w:t>
      </w:r>
    </w:p>
    <w:bookmarkEnd w:id="106"/>
    <w:bookmarkStart w:id="107" w:name="s2-specific-strategy-dual-track"/>
    <w:p>
      <w:pPr>
        <w:pStyle w:val="Heading3"/>
      </w:pPr>
      <w:r>
        <w:t xml:space="preserve">S2-Specific Strategy:</w:t>
      </w:r>
      <w:r>
        <w:t xml:space="preserve"> </w:t>
      </w:r>
      <w:r>
        <w:t xml:space="preserve">“</w:t>
      </w:r>
      <w:r>
        <w:t xml:space="preserve">Dual Track</w:t>
      </w:r>
      <w:r>
        <w:t xml:space="preserve">”</w:t>
      </w:r>
    </w:p>
    <w:p>
      <w:pPr>
        <w:pStyle w:val="FirstParagraph"/>
      </w:pPr>
      <w:r>
        <w:t xml:space="preserve">If early warning signals confirm S2 (Hybrid Evolution) trajectory:</w:t>
      </w:r>
    </w:p>
    <w:tbl>
      <w:tblPr>
        <w:tblStyle w:val="Table"/>
        <w:tblW w:type="pct" w:w="5000"/>
        <w:tblLook w:firstRow="1" w:lastRow="0" w:firstColumn="0" w:lastColumn="0" w:noHBand="0" w:noVBand="0" w:val="0020"/>
        <w:jc w:val="start"/>
      </w:tblPr>
      <w:tblGrid>
        <w:gridCol w:w="1841"/>
        <w:gridCol w:w="2026"/>
        <w:gridCol w:w="2210"/>
        <w:gridCol w:w="1841"/>
      </w:tblGrid>
      <w:tr>
        <w:trPr>
          <w:tblHeader w:val="true"/>
        </w:trPr>
        <w:tc>
          <w:tcPr/>
          <w:p>
            <w:pPr>
              <w:pStyle w:val="Compact"/>
              <w:jc w:val="left"/>
            </w:pPr>
            <w:r>
              <w:t xml:space="preserve">Priority</w:t>
            </w:r>
          </w:p>
        </w:tc>
        <w:tc>
          <w:tcPr/>
          <w:p>
            <w:pPr>
              <w:pStyle w:val="Compact"/>
              <w:jc w:val="left"/>
            </w:pPr>
            <w:r>
              <w:t xml:space="preserve">Initiative</w:t>
            </w:r>
          </w:p>
        </w:tc>
        <w:tc>
          <w:tcPr/>
          <w:p>
            <w:pPr>
              <w:pStyle w:val="Compact"/>
              <w:jc w:val="left"/>
            </w:pPr>
            <w:r>
              <w:t xml:space="preserve">Investment</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AI-augmented advisor tools (co-pilot model)</w:t>
            </w:r>
          </w:p>
        </w:tc>
        <w:tc>
          <w:tcPr/>
          <w:p>
            <w:pPr>
              <w:pStyle w:val="Compact"/>
              <w:jc w:val="left"/>
            </w:pPr>
            <w:r>
              <w:t xml:space="preserve">High</w:t>
            </w:r>
          </w:p>
        </w:tc>
        <w:tc>
          <w:tcPr/>
          <w:p>
            <w:pPr>
              <w:pStyle w:val="Compact"/>
              <w:jc w:val="left"/>
            </w:pPr>
            <w:r>
              <w:t xml:space="preserve">6–12 months</w:t>
            </w:r>
          </w:p>
        </w:tc>
      </w:tr>
      <w:tr>
        <w:tc>
          <w:tcPr/>
          <w:p>
            <w:pPr>
              <w:pStyle w:val="Compact"/>
              <w:jc w:val="left"/>
            </w:pPr>
            <w:r>
              <w:t xml:space="preserve">2</w:t>
            </w:r>
          </w:p>
        </w:tc>
        <w:tc>
          <w:tcPr/>
          <w:p>
            <w:pPr>
              <w:pStyle w:val="Compact"/>
              <w:jc w:val="left"/>
            </w:pPr>
            <w:r>
              <w:t xml:space="preserve">Omnichannel AI integration</w:t>
            </w:r>
          </w:p>
        </w:tc>
        <w:tc>
          <w:tcPr/>
          <w:p>
            <w:pPr>
              <w:pStyle w:val="Compact"/>
              <w:jc w:val="left"/>
            </w:pPr>
            <w:r>
              <w:t xml:space="preserve">High</w:t>
            </w:r>
          </w:p>
        </w:tc>
        <w:tc>
          <w:tcPr/>
          <w:p>
            <w:pPr>
              <w:pStyle w:val="Compact"/>
              <w:jc w:val="left"/>
            </w:pPr>
            <w:r>
              <w:t xml:space="preserve">12–18 months</w:t>
            </w:r>
          </w:p>
        </w:tc>
      </w:tr>
      <w:tr>
        <w:tc>
          <w:tcPr/>
          <w:p>
            <w:pPr>
              <w:pStyle w:val="Compact"/>
              <w:jc w:val="left"/>
            </w:pPr>
            <w:r>
              <w:t xml:space="preserve">3</w:t>
            </w:r>
          </w:p>
        </w:tc>
        <w:tc>
          <w:tcPr/>
          <w:p>
            <w:pPr>
              <w:pStyle w:val="Compact"/>
              <w:jc w:val="left"/>
            </w:pPr>
            <w:r>
              <w:t xml:space="preserve">Generational marketing strategy</w:t>
            </w:r>
          </w:p>
        </w:tc>
        <w:tc>
          <w:tcPr/>
          <w:p>
            <w:pPr>
              <w:pStyle w:val="Compact"/>
              <w:jc w:val="left"/>
            </w:pPr>
            <w:r>
              <w:t xml:space="preserve">Medium</w:t>
            </w:r>
          </w:p>
        </w:tc>
        <w:tc>
          <w:tcPr/>
          <w:p>
            <w:pPr>
              <w:pStyle w:val="Compact"/>
              <w:jc w:val="left"/>
            </w:pPr>
            <w:r>
              <w:t xml:space="preserve">6–12 months</w:t>
            </w:r>
          </w:p>
        </w:tc>
      </w:tr>
      <w:tr>
        <w:tc>
          <w:tcPr/>
          <w:p>
            <w:pPr>
              <w:pStyle w:val="Compact"/>
              <w:jc w:val="left"/>
            </w:pPr>
            <w:r>
              <w:t xml:space="preserve">4</w:t>
            </w:r>
          </w:p>
        </w:tc>
        <w:tc>
          <w:tcPr/>
          <w:p>
            <w:pPr>
              <w:pStyle w:val="Compact"/>
              <w:jc w:val="left"/>
            </w:pPr>
            <w:r>
              <w:t xml:space="preserve">Progressive automation with human oversight</w:t>
            </w:r>
          </w:p>
        </w:tc>
        <w:tc>
          <w:tcPr/>
          <w:p>
            <w:pPr>
              <w:pStyle w:val="Compact"/>
              <w:jc w:val="left"/>
            </w:pPr>
            <w:r>
              <w:t xml:space="preserve">Medium</w:t>
            </w:r>
          </w:p>
        </w:tc>
        <w:tc>
          <w:tcPr/>
          <w:p>
            <w:pPr>
              <w:pStyle w:val="Compact"/>
              <w:jc w:val="left"/>
            </w:pPr>
            <w:r>
              <w:t xml:space="preserve">12–24 months</w:t>
            </w:r>
          </w:p>
        </w:tc>
      </w:tr>
      <w:tr>
        <w:tc>
          <w:tcPr/>
          <w:p>
            <w:pPr>
              <w:pStyle w:val="Compact"/>
              <w:jc w:val="left"/>
            </w:pPr>
            <w:r>
              <w:t xml:space="preserve">5</w:t>
            </w:r>
          </w:p>
        </w:tc>
        <w:tc>
          <w:tcPr/>
          <w:p>
            <w:pPr>
              <w:pStyle w:val="Compact"/>
              <w:jc w:val="left"/>
            </w:pPr>
            <w:r>
              <w:t xml:space="preserve">Segment-specific channel strategies</w:t>
            </w:r>
          </w:p>
        </w:tc>
        <w:tc>
          <w:tcPr/>
          <w:p>
            <w:pPr>
              <w:pStyle w:val="Compact"/>
              <w:jc w:val="left"/>
            </w:pPr>
            <w:r>
              <w:t xml:space="preserve">Medium</w:t>
            </w:r>
          </w:p>
        </w:tc>
        <w:tc>
          <w:tcPr/>
          <w:p>
            <w:pPr>
              <w:pStyle w:val="Compact"/>
              <w:jc w:val="left"/>
            </w:pPr>
            <w:r>
              <w:t xml:space="preserve">6–12 months</w:t>
            </w:r>
          </w:p>
        </w:tc>
      </w:tr>
    </w:tbl>
    <w:p>
      <w:pPr>
        <w:pStyle w:val="BodyText"/>
      </w:pPr>
      <w:r>
        <w:rPr>
          <w:bCs/>
          <w:b/>
        </w:rPr>
        <w:t xml:space="preserve">S2 module weights:</w:t>
      </w:r>
      <w:r>
        <w:t xml:space="preserve"> </w:t>
      </w:r>
      <w:r>
        <w:t xml:space="preserve">M1: 25%, M2: 25%, M3: 25%, M4: 25% (balanced)</w:t>
      </w:r>
    </w:p>
    <w:p>
      <w:pPr>
        <w:pStyle w:val="BodyText"/>
      </w:pPr>
      <w:r>
        <w:t xml:space="preserve">S2 demands balanced investment across all modules. The AI-augmented advisor model is the central operating concept: human advisors enhanced by AI tools serve relationship-oriented clients, while AI-first channels serve digital-native clients.</w:t>
      </w:r>
    </w:p>
    <w:bookmarkEnd w:id="107"/>
    <w:bookmarkStart w:id="108" w:name="s3-specific-strategy-trust-moat"/>
    <w:p>
      <w:pPr>
        <w:pStyle w:val="Heading3"/>
      </w:pPr>
      <w:r>
        <w:t xml:space="preserve">S3-Specific Strategy:</w:t>
      </w:r>
      <w:r>
        <w:t xml:space="preserve"> </w:t>
      </w:r>
      <w:r>
        <w:t xml:space="preserve">“</w:t>
      </w:r>
      <w:r>
        <w:t xml:space="preserve">Trust Moat</w:t>
      </w:r>
      <w:r>
        <w:t xml:space="preserve">”</w:t>
      </w:r>
    </w:p>
    <w:p>
      <w:pPr>
        <w:pStyle w:val="FirstParagraph"/>
      </w:pPr>
      <w:r>
        <w:t xml:space="preserve">If early warning signals indicate S3 (Trust-Anchored Banking) emerging:</w:t>
      </w:r>
    </w:p>
    <w:tbl>
      <w:tblPr>
        <w:tblStyle w:val="Table"/>
        <w:tblW w:type="pct" w:w="5000"/>
        <w:tblLook w:firstRow="1" w:lastRow="0" w:firstColumn="0" w:lastColumn="0" w:noHBand="0" w:noVBand="0" w:val="0020"/>
        <w:jc w:val="start"/>
      </w:tblPr>
      <w:tblGrid>
        <w:gridCol w:w="1841"/>
        <w:gridCol w:w="2026"/>
        <w:gridCol w:w="2210"/>
        <w:gridCol w:w="1841"/>
      </w:tblGrid>
      <w:tr>
        <w:trPr>
          <w:tblHeader w:val="true"/>
        </w:trPr>
        <w:tc>
          <w:tcPr/>
          <w:p>
            <w:pPr>
              <w:pStyle w:val="Compact"/>
              <w:jc w:val="left"/>
            </w:pPr>
            <w:r>
              <w:t xml:space="preserve">Priority</w:t>
            </w:r>
          </w:p>
        </w:tc>
        <w:tc>
          <w:tcPr/>
          <w:p>
            <w:pPr>
              <w:pStyle w:val="Compact"/>
              <w:jc w:val="left"/>
            </w:pPr>
            <w:r>
              <w:t xml:space="preserve">Initiative</w:t>
            </w:r>
          </w:p>
        </w:tc>
        <w:tc>
          <w:tcPr/>
          <w:p>
            <w:pPr>
              <w:pStyle w:val="Compact"/>
              <w:jc w:val="left"/>
            </w:pPr>
            <w:r>
              <w:t xml:space="preserve">Investment</w:t>
            </w:r>
          </w:p>
        </w:tc>
        <w:tc>
          <w:tcPr/>
          <w:p>
            <w:pPr>
              <w:pStyle w:val="Compact"/>
              <w:jc w:val="left"/>
            </w:pPr>
            <w:r>
              <w:t xml:space="preserve">Timeline</w:t>
            </w:r>
          </w:p>
        </w:tc>
      </w:tr>
      <w:tr>
        <w:tc>
          <w:tcPr/>
          <w:p>
            <w:pPr>
              <w:pStyle w:val="Compact"/>
              <w:jc w:val="left"/>
            </w:pPr>
            <w:r>
              <w:t xml:space="preserve">1</w:t>
            </w:r>
          </w:p>
        </w:tc>
        <w:tc>
          <w:tcPr/>
          <w:p>
            <w:pPr>
              <w:pStyle w:val="Compact"/>
              <w:jc w:val="left"/>
            </w:pPr>
            <w:r>
              <w:t xml:space="preserve">Amplify Swiss trust narrative</w:t>
            </w:r>
          </w:p>
        </w:tc>
        <w:tc>
          <w:tcPr/>
          <w:p>
            <w:pPr>
              <w:pStyle w:val="Compact"/>
              <w:jc w:val="left"/>
            </w:pPr>
            <w:r>
              <w:t xml:space="preserve">Medium</w:t>
            </w:r>
          </w:p>
        </w:tc>
        <w:tc>
          <w:tcPr/>
          <w:p>
            <w:pPr>
              <w:pStyle w:val="Compact"/>
              <w:jc w:val="left"/>
            </w:pPr>
            <w:r>
              <w:t xml:space="preserve">3–6 months</w:t>
            </w:r>
          </w:p>
        </w:tc>
      </w:tr>
      <w:tr>
        <w:tc>
          <w:tcPr/>
          <w:p>
            <w:pPr>
              <w:pStyle w:val="Compact"/>
              <w:jc w:val="left"/>
            </w:pPr>
            <w:r>
              <w:t xml:space="preserve">2</w:t>
            </w:r>
          </w:p>
        </w:tc>
        <w:tc>
          <w:tcPr/>
          <w:p>
            <w:pPr>
              <w:pStyle w:val="Compact"/>
              <w:jc w:val="left"/>
            </w:pPr>
            <w:r>
              <w:t xml:space="preserve">AI as invisible enabler (not customer-facing)</w:t>
            </w:r>
          </w:p>
        </w:tc>
        <w:tc>
          <w:tcPr/>
          <w:p>
            <w:pPr>
              <w:pStyle w:val="Compact"/>
              <w:jc w:val="left"/>
            </w:pPr>
            <w:r>
              <w:t xml:space="preserve">Medium</w:t>
            </w:r>
          </w:p>
        </w:tc>
        <w:tc>
          <w:tcPr/>
          <w:p>
            <w:pPr>
              <w:pStyle w:val="Compact"/>
              <w:jc w:val="left"/>
            </w:pPr>
            <w:r>
              <w:t xml:space="preserve">6–12 months</w:t>
            </w:r>
          </w:p>
        </w:tc>
      </w:tr>
      <w:tr>
        <w:tc>
          <w:tcPr/>
          <w:p>
            <w:pPr>
              <w:pStyle w:val="Compact"/>
              <w:jc w:val="left"/>
            </w:pPr>
            <w:r>
              <w:t xml:space="preserve">3</w:t>
            </w:r>
          </w:p>
        </w:tc>
        <w:tc>
          <w:tcPr/>
          <w:p>
            <w:pPr>
              <w:pStyle w:val="Compact"/>
              <w:jc w:val="left"/>
            </w:pPr>
            <w:r>
              <w:t xml:space="preserve">Deepen advisor relationships and training</w:t>
            </w:r>
          </w:p>
        </w:tc>
        <w:tc>
          <w:tcPr/>
          <w:p>
            <w:pPr>
              <w:pStyle w:val="Compact"/>
              <w:jc w:val="left"/>
            </w:pPr>
            <w:r>
              <w:t xml:space="preserve">High</w:t>
            </w:r>
          </w:p>
        </w:tc>
        <w:tc>
          <w:tcPr/>
          <w:p>
            <w:pPr>
              <w:pStyle w:val="Compact"/>
              <w:jc w:val="left"/>
            </w:pPr>
            <w:r>
              <w:t xml:space="preserve">6–18 months</w:t>
            </w:r>
          </w:p>
        </w:tc>
      </w:tr>
      <w:tr>
        <w:tc>
          <w:tcPr/>
          <w:p>
            <w:pPr>
              <w:pStyle w:val="Compact"/>
              <w:jc w:val="left"/>
            </w:pPr>
            <w:r>
              <w:t xml:space="preserve">4</w:t>
            </w:r>
          </w:p>
        </w:tc>
        <w:tc>
          <w:tcPr/>
          <w:p>
            <w:pPr>
              <w:pStyle w:val="Compact"/>
              <w:jc w:val="left"/>
            </w:pPr>
            <w:r>
              <w:t xml:space="preserve">Anti-BigTech positioning campaign</w:t>
            </w:r>
          </w:p>
        </w:tc>
        <w:tc>
          <w:tcPr/>
          <w:p>
            <w:pPr>
              <w:pStyle w:val="Compact"/>
              <w:jc w:val="left"/>
            </w:pPr>
            <w:r>
              <w:t xml:space="preserve">Medium</w:t>
            </w:r>
          </w:p>
        </w:tc>
        <w:tc>
          <w:tcPr/>
          <w:p>
            <w:pPr>
              <w:pStyle w:val="Compact"/>
              <w:jc w:val="left"/>
            </w:pPr>
            <w:r>
              <w:t xml:space="preserve">3–6 months</w:t>
            </w:r>
          </w:p>
        </w:tc>
      </w:tr>
      <w:tr>
        <w:tc>
          <w:tcPr/>
          <w:p>
            <w:pPr>
              <w:pStyle w:val="Compact"/>
              <w:jc w:val="left"/>
            </w:pPr>
            <w:r>
              <w:t xml:space="preserve">5</w:t>
            </w:r>
          </w:p>
        </w:tc>
        <w:tc>
          <w:tcPr/>
          <w:p>
            <w:pPr>
              <w:pStyle w:val="Compact"/>
              <w:jc w:val="left"/>
            </w:pPr>
            <w:r>
              <w:t xml:space="preserve">Internal AI efficiency program</w:t>
            </w:r>
          </w:p>
        </w:tc>
        <w:tc>
          <w:tcPr/>
          <w:p>
            <w:pPr>
              <w:pStyle w:val="Compact"/>
              <w:jc w:val="left"/>
            </w:pPr>
            <w:r>
              <w:t xml:space="preserve">Medium</w:t>
            </w:r>
          </w:p>
        </w:tc>
        <w:tc>
          <w:tcPr/>
          <w:p>
            <w:pPr>
              <w:pStyle w:val="Compact"/>
              <w:jc w:val="left"/>
            </w:pPr>
            <w:r>
              <w:t xml:space="preserve">12–24 months</w:t>
            </w:r>
          </w:p>
        </w:tc>
      </w:tr>
    </w:tbl>
    <w:p>
      <w:pPr>
        <w:pStyle w:val="BodyText"/>
      </w:pPr>
      <w:r>
        <w:rPr>
          <w:bCs/>
          <w:b/>
        </w:rPr>
        <w:t xml:space="preserve">S3 module weights:</w:t>
      </w:r>
      <w:r>
        <w:t xml:space="preserve"> </w:t>
      </w:r>
      <w:r>
        <w:t xml:space="preserve">M1: 15%, M2: 20%, M3: 35%, M4: 30%</w:t>
      </w:r>
    </w:p>
    <w:p>
      <w:pPr>
        <w:pStyle w:val="BodyText"/>
      </w:pPr>
      <w:r>
        <w:t xml:space="preserve">Organization (M3) receives highest weight because advisor excellence becomes the primary competitive asset. AI investment continues but shifts from customer-facing to internal efficiency — making advisors more effective, not replacing them.</w:t>
      </w:r>
    </w:p>
    <w:bookmarkEnd w:id="108"/>
    <w:bookmarkEnd w:id="109"/>
    <w:bookmarkStart w:id="113" w:name="part-c-decision-framework"/>
    <w:p>
      <w:pPr>
        <w:pStyle w:val="Heading2"/>
      </w:pPr>
      <w:r>
        <w:t xml:space="preserve">6.3 Part C: Decision Framework</w:t>
      </w:r>
    </w:p>
    <w:bookmarkStart w:id="110" w:name="Xe2d574c5d3e7503241d868ebde7d26f57b270c0"/>
    <w:p>
      <w:pPr>
        <w:pStyle w:val="Heading3"/>
      </w:pPr>
      <w:r>
        <w:t xml:space="preserve">Scenario Detection → Strategic Response Matrix</w:t>
      </w:r>
    </w:p>
    <w:tbl>
      <w:tblPr>
        <w:tblStyle w:val="Table"/>
        <w:tblW w:type="pct" w:w="5000"/>
        <w:tblLook w:firstRow="1" w:lastRow="0" w:firstColumn="0" w:lastColumn="0" w:noHBand="0" w:noVBand="0" w:val="0020"/>
        <w:jc w:val="start"/>
      </w:tblPr>
      <w:tblGrid>
        <w:gridCol w:w="1827"/>
        <w:gridCol w:w="1827"/>
        <w:gridCol w:w="2315"/>
        <w:gridCol w:w="1949"/>
      </w:tblGrid>
      <w:tr>
        <w:trPr>
          <w:tblHeader w:val="true"/>
        </w:trPr>
        <w:tc>
          <w:tcPr/>
          <w:p>
            <w:pPr>
              <w:pStyle w:val="Compact"/>
              <w:jc w:val="left"/>
            </w:pPr>
            <w:r>
              <w:t xml:space="preserve">Signal Pattern</w:t>
            </w:r>
          </w:p>
        </w:tc>
        <w:tc>
          <w:tcPr/>
          <w:p>
            <w:pPr>
              <w:pStyle w:val="Compact"/>
              <w:jc w:val="left"/>
            </w:pPr>
            <w:r>
              <w:t xml:space="preserve">Interpretation</w:t>
            </w:r>
          </w:p>
        </w:tc>
        <w:tc>
          <w:tcPr/>
          <w:p>
            <w:pPr>
              <w:pStyle w:val="Compact"/>
              <w:jc w:val="left"/>
            </w:pPr>
            <w:r>
              <w:t xml:space="preserve">Strategic Response</w:t>
            </w:r>
          </w:p>
        </w:tc>
        <w:tc>
          <w:tcPr/>
          <w:p>
            <w:pPr>
              <w:pStyle w:val="Compact"/>
              <w:jc w:val="left"/>
            </w:pPr>
            <w:r>
              <w:t xml:space="preserve">Resource Shift</w:t>
            </w:r>
          </w:p>
        </w:tc>
      </w:tr>
      <w:tr>
        <w:tc>
          <w:tcPr/>
          <w:p>
            <w:pPr>
              <w:pStyle w:val="Compact"/>
              <w:jc w:val="left"/>
            </w:pPr>
            <w:r>
              <w:t xml:space="preserve">T1 &gt;25%, T3 &gt;40%, T4 &lt;40%</w:t>
            </w:r>
          </w:p>
        </w:tc>
        <w:tc>
          <w:tcPr/>
          <w:p>
            <w:pPr>
              <w:pStyle w:val="Compact"/>
              <w:jc w:val="left"/>
            </w:pPr>
            <w:r>
              <w:t xml:space="preserve">S1 emerging strongly</w:t>
            </w:r>
          </w:p>
        </w:tc>
        <w:tc>
          <w:tcPr/>
          <w:p>
            <w:pPr>
              <w:pStyle w:val="Compact"/>
              <w:jc w:val="left"/>
            </w:pPr>
            <w:r>
              <w:t xml:space="preserve">Activate</w:t>
            </w:r>
            <w:r>
              <w:t xml:space="preserve"> </w:t>
            </w:r>
            <w:r>
              <w:t xml:space="preserve">“</w:t>
            </w:r>
            <w:r>
              <w:t xml:space="preserve">Platform First</w:t>
            </w:r>
            <w:r>
              <w:t xml:space="preserve">”</w:t>
            </w:r>
          </w:p>
        </w:tc>
        <w:tc>
          <w:tcPr/>
          <w:p>
            <w:pPr>
              <w:pStyle w:val="Compact"/>
              <w:jc w:val="left"/>
            </w:pPr>
            <w:r>
              <w:t xml:space="preserve">+50% to M1, +30% to platform partnerships</w:t>
            </w:r>
          </w:p>
        </w:tc>
      </w:tr>
      <w:tr>
        <w:tc>
          <w:tcPr/>
          <w:p>
            <w:pPr>
              <w:pStyle w:val="Compact"/>
              <w:jc w:val="left"/>
            </w:pPr>
            <w:r>
              <w:t xml:space="preserve">T1 15–25%, T3 25–40%, T4 40–55%</w:t>
            </w:r>
          </w:p>
        </w:tc>
        <w:tc>
          <w:tcPr/>
          <w:p>
            <w:pPr>
              <w:pStyle w:val="Compact"/>
              <w:jc w:val="left"/>
            </w:pPr>
            <w:r>
              <w:t xml:space="preserve">S2 trajectory confirmed</w:t>
            </w:r>
          </w:p>
        </w:tc>
        <w:tc>
          <w:tcPr/>
          <w:p>
            <w:pPr>
              <w:pStyle w:val="Compact"/>
              <w:jc w:val="left"/>
            </w:pPr>
            <w:r>
              <w:t xml:space="preserve">Maintain</w:t>
            </w:r>
            <w:r>
              <w:t xml:space="preserve"> </w:t>
            </w:r>
            <w:r>
              <w:t xml:space="preserve">“</w:t>
            </w:r>
            <w:r>
              <w:t xml:space="preserve">Dual Track</w:t>
            </w:r>
            <w:r>
              <w:t xml:space="preserve">”</w:t>
            </w:r>
          </w:p>
        </w:tc>
        <w:tc>
          <w:tcPr/>
          <w:p>
            <w:pPr>
              <w:pStyle w:val="Compact"/>
              <w:jc w:val="left"/>
            </w:pPr>
            <w:r>
              <w:t xml:space="preserve">Balanced investment</w:t>
            </w:r>
          </w:p>
        </w:tc>
      </w:tr>
      <w:tr>
        <w:tc>
          <w:tcPr/>
          <w:p>
            <w:pPr>
              <w:pStyle w:val="Compact"/>
              <w:jc w:val="left"/>
            </w:pPr>
            <w:r>
              <w:t xml:space="preserve">T5 ≥5, T4 &gt;80%, T2 rejections</w:t>
            </w:r>
          </w:p>
        </w:tc>
        <w:tc>
          <w:tcPr/>
          <w:p>
            <w:pPr>
              <w:pStyle w:val="Compact"/>
              <w:jc w:val="left"/>
            </w:pPr>
            <w:r>
              <w:t xml:space="preserve">S3 emerging</w:t>
            </w:r>
          </w:p>
        </w:tc>
        <w:tc>
          <w:tcPr/>
          <w:p>
            <w:pPr>
              <w:pStyle w:val="Compact"/>
              <w:jc w:val="left"/>
            </w:pPr>
            <w:r>
              <w:t xml:space="preserve">Activate</w:t>
            </w:r>
            <w:r>
              <w:t xml:space="preserve"> </w:t>
            </w:r>
            <w:r>
              <w:t xml:space="preserve">“</w:t>
            </w:r>
            <w:r>
              <w:t xml:space="preserve">Trust Moat</w:t>
            </w:r>
            <w:r>
              <w:t xml:space="preserve">”</w:t>
            </w:r>
          </w:p>
        </w:tc>
        <w:tc>
          <w:tcPr/>
          <w:p>
            <w:pPr>
              <w:pStyle w:val="Compact"/>
              <w:jc w:val="left"/>
            </w:pPr>
            <w:r>
              <w:t xml:space="preserve">+40% to advisor programs, shift AI budget to internal</w:t>
            </w:r>
          </w:p>
        </w:tc>
      </w:tr>
      <w:tr>
        <w:tc>
          <w:tcPr/>
          <w:p>
            <w:pPr>
              <w:pStyle w:val="Compact"/>
              <w:jc w:val="left"/>
            </w:pPr>
            <w:r>
              <w:t xml:space="preserve">T6 &lt;0 (CS NPS negative)</w:t>
            </w:r>
          </w:p>
        </w:tc>
        <w:tc>
          <w:tcPr/>
          <w:p>
            <w:pPr>
              <w:pStyle w:val="Compact"/>
              <w:jc w:val="left"/>
            </w:pPr>
            <w:r>
              <w:t xml:space="preserve">Crisis regardless of scenario</w:t>
            </w:r>
          </w:p>
        </w:tc>
        <w:tc>
          <w:tcPr/>
          <w:p>
            <w:pPr>
              <w:pStyle w:val="Compact"/>
              <w:jc w:val="left"/>
            </w:pPr>
            <w:r>
              <w:t xml:space="preserve">Emergency CS-Migrated intervention</w:t>
            </w:r>
          </w:p>
        </w:tc>
        <w:tc>
          <w:tcPr/>
          <w:p>
            <w:pPr>
              <w:pStyle w:val="Compact"/>
              <w:jc w:val="left"/>
            </w:pPr>
            <w:r>
              <w:t xml:space="preserve">Immediate diversion of marketing budget</w:t>
            </w:r>
          </w:p>
        </w:tc>
      </w:tr>
      <w:tr>
        <w:tc>
          <w:tcPr/>
          <w:p>
            <w:pPr>
              <w:pStyle w:val="Compact"/>
              <w:jc w:val="left"/>
            </w:pPr>
            <w:r>
              <w:t xml:space="preserve">T1 &gt;25% BUT T4 &gt;70%</w:t>
            </w:r>
          </w:p>
        </w:tc>
        <w:tc>
          <w:tcPr/>
          <w:p>
            <w:pPr>
              <w:pStyle w:val="Compact"/>
              <w:jc w:val="left"/>
            </w:pPr>
            <w:r>
              <w:t xml:space="preserve">Contradictory signals</w:t>
            </w:r>
          </w:p>
        </w:tc>
        <w:tc>
          <w:tcPr/>
          <w:p>
            <w:pPr>
              <w:pStyle w:val="Compact"/>
              <w:jc w:val="left"/>
            </w:pPr>
            <w:r>
              <w:t xml:space="preserve">Increase monitoring frequency</w:t>
            </w:r>
          </w:p>
        </w:tc>
        <w:tc>
          <w:tcPr/>
          <w:p>
            <w:pPr>
              <w:pStyle w:val="Compact"/>
              <w:jc w:val="left"/>
            </w:pPr>
            <w:r>
              <w:t xml:space="preserve">Delay major commitments, invest in NR2</w:t>
            </w:r>
          </w:p>
        </w:tc>
      </w:tr>
    </w:tbl>
    <w:bookmarkEnd w:id="110"/>
    <w:bookmarkStart w:id="111" w:name="dynamic-resource-allocation"/>
    <w:p>
      <w:pPr>
        <w:pStyle w:val="Heading3"/>
      </w:pPr>
      <w:r>
        <w:t xml:space="preserve">Dynamic Resource Allocation</w:t>
      </w:r>
    </w:p>
    <w:p>
      <w:pPr>
        <w:pStyle w:val="FirstParagraph"/>
      </w:pPr>
      <w:r>
        <w:t xml:space="preserve">The decision framework enables quarterly resource reallocation based on scenario signal strength:</w:t>
      </w:r>
    </w:p>
    <w:p>
      <w:pPr>
        <w:pStyle w:val="BodyText"/>
      </w:pPr>
      <w:r>
        <w:rPr>
          <w:bCs/>
          <w:b/>
        </w:rPr>
        <w:t xml:space="preserve">Base allocation (no strong signals):</w:t>
      </w:r>
      <w:r>
        <w:t xml:space="preserve"> </w:t>
      </w:r>
      <w:r>
        <w:t xml:space="preserve">25% per module (balanced)</w:t>
      </w:r>
    </w:p>
    <w:p>
      <w:pPr>
        <w:pStyle w:val="BodyText"/>
      </w:pPr>
      <w:r>
        <w:rPr>
          <w:bCs/>
          <w:b/>
        </w:rPr>
        <w:t xml:space="preserve">Signal-adjusted allocation:</w:t>
      </w:r>
      <w:r>
        <w:t xml:space="preserve"> </w:t>
      </w:r>
      <w:r>
        <w:t xml:space="preserve">- Each amber trigger shifts 5% of total budget toward the relevant scenario strategy</w:t>
      </w:r>
      <w:r>
        <w:t xml:space="preserve"> </w:t>
      </w:r>
      <w:r>
        <w:t xml:space="preserve">- Each red trigger shifts 15% of total budget</w:t>
      </w:r>
      <w:r>
        <w:t xml:space="preserve"> </w:t>
      </w:r>
      <w:r>
        <w:t xml:space="preserve">- Reallocation caps at 40% deviation from base to maintain strategic flexibility</w:t>
      </w:r>
    </w:p>
    <w:bookmarkEnd w:id="111"/>
    <w:bookmarkStart w:id="112" w:name="strategic-coherence-under-adaptation"/>
    <w:p>
      <w:pPr>
        <w:pStyle w:val="Heading3"/>
      </w:pPr>
      <w:r>
        <w:t xml:space="preserve">Strategic Coherence Under Adaptation</w:t>
      </w:r>
    </w:p>
    <w:p>
      <w:pPr>
        <w:pStyle w:val="FirstParagraph"/>
      </w:pPr>
      <w:r>
        <w:t xml:space="preserve">The key challenge is adapting to emerging scenarios while maintaining strategic coherence. Three principles guide this:</w:t>
      </w:r>
    </w:p>
    <w:p>
      <w:pPr>
        <w:numPr>
          <w:ilvl w:val="0"/>
          <w:numId w:val="1029"/>
        </w:numPr>
        <w:pStyle w:val="Compact"/>
      </w:pPr>
      <w:r>
        <w:rPr>
          <w:bCs/>
          <w:b/>
        </w:rPr>
        <w:t xml:space="preserve">Foundation investments are permanent:</w:t>
      </w:r>
      <w:r>
        <w:t xml:space="preserve"> </w:t>
      </w:r>
      <w:r>
        <w:t xml:space="preserve">NR1–NR5 are not scenario-dependent and should not be reduced even if signals shift.</w:t>
      </w:r>
    </w:p>
    <w:p>
      <w:pPr>
        <w:numPr>
          <w:ilvl w:val="0"/>
          <w:numId w:val="1029"/>
        </w:numPr>
        <w:pStyle w:val="Compact"/>
      </w:pPr>
      <w:r>
        <w:rPr>
          <w:bCs/>
          <w:b/>
        </w:rPr>
        <w:t xml:space="preserve">Scenario-specific investments are modular:</w:t>
      </w:r>
      <w:r>
        <w:t xml:space="preserve"> </w:t>
      </w:r>
      <w:r>
        <w:t xml:space="preserve">They can be scaled up or down without disrupting foundation capabilities.</w:t>
      </w:r>
    </w:p>
    <w:p>
      <w:pPr>
        <w:numPr>
          <w:ilvl w:val="0"/>
          <w:numId w:val="1029"/>
        </w:numPr>
        <w:pStyle w:val="Compact"/>
      </w:pPr>
      <w:r>
        <w:rPr>
          <w:bCs/>
          <w:b/>
        </w:rPr>
        <w:t xml:space="preserve">Learning compounds:</w:t>
      </w:r>
      <w:r>
        <w:t xml:space="preserve"> </w:t>
      </w:r>
      <w:r>
        <w:t xml:space="preserve">Every pilot, every monitoring data point, every training cohort generates learning that improves future decisions — this is the</w:t>
      </w:r>
      <w:r>
        <w:t xml:space="preserve"> </w:t>
      </w:r>
      <w:r>
        <w:t xml:space="preserve">“</w:t>
      </w:r>
      <w:r>
        <w:t xml:space="preserve">L</w:t>
      </w:r>
      <w:r>
        <w:t xml:space="preserve">”</w:t>
      </w:r>
      <w:r>
        <w:t xml:space="preserve"> </w:t>
      </w:r>
      <w:r>
        <w:t xml:space="preserve">in the NR formula.</w:t>
      </w:r>
    </w:p>
    <w:bookmarkEnd w:id="112"/>
    <w:bookmarkEnd w:id="113"/>
    <w:bookmarkStart w:id="116" w:name="part-d-disruptive-event-response"/>
    <w:p>
      <w:pPr>
        <w:pStyle w:val="Heading2"/>
      </w:pPr>
      <w:r>
        <w:t xml:space="preserve">6.4 Part D: Disruptive Event Response</w:t>
      </w:r>
    </w:p>
    <w:bookmarkStart w:id="114" w:name="positive-disruption-playbooks"/>
    <w:p>
      <w:pPr>
        <w:pStyle w:val="Heading3"/>
      </w:pPr>
      <w:r>
        <w:t xml:space="preserve">Positive Disruption Playbooks</w:t>
      </w:r>
    </w:p>
    <w:p>
      <w:pPr>
        <w:pStyle w:val="FirstParagraph"/>
      </w:pPr>
      <w:r>
        <w:rPr>
          <w:bCs/>
          <w:b/>
        </w:rPr>
        <w:t xml:space="preserve">Breakthrough AI Capability (e.g., autonomous financial advisor AI passes regulatory approval)</w:t>
      </w:r>
    </w:p>
    <w:tbl>
      <w:tblPr>
        <w:tblStyle w:val="Table"/>
        <w:tblW w:type="pct" w:w="5000"/>
        <w:tblLook w:firstRow="1" w:lastRow="0" w:firstColumn="0" w:lastColumn="0" w:noHBand="0" w:noVBand="0" w:val="0020"/>
        <w:jc w:val="start"/>
      </w:tblPr>
      <w:tblGrid>
        <w:gridCol w:w="3494"/>
        <w:gridCol w:w="2329"/>
        <w:gridCol w:w="2096"/>
      </w:tblGrid>
      <w:tr>
        <w:trPr>
          <w:tblHeader w:val="true"/>
        </w:trPr>
        <w:tc>
          <w:tcPr/>
          <w:p>
            <w:pPr>
              <w:pStyle w:val="Compact"/>
              <w:jc w:val="left"/>
            </w:pPr>
            <w:r>
              <w:t xml:space="preserve">Response Phase</w:t>
            </w:r>
          </w:p>
        </w:tc>
        <w:tc>
          <w:tcPr/>
          <w:p>
            <w:pPr>
              <w:pStyle w:val="Compact"/>
              <w:jc w:val="left"/>
            </w:pPr>
            <w:r>
              <w:t xml:space="preserve">Timeline</w:t>
            </w:r>
          </w:p>
        </w:tc>
        <w:tc>
          <w:tcPr/>
          <w:p>
            <w:pPr>
              <w:pStyle w:val="Compact"/>
              <w:jc w:val="left"/>
            </w:pPr>
            <w:r>
              <w:t xml:space="preserve">Actions</w:t>
            </w:r>
          </w:p>
        </w:tc>
      </w:tr>
      <w:tr>
        <w:tc>
          <w:tcPr/>
          <w:p>
            <w:pPr>
              <w:pStyle w:val="Compact"/>
              <w:jc w:val="left"/>
            </w:pPr>
            <w:r>
              <w:t xml:space="preserve">Assessment</w:t>
            </w:r>
          </w:p>
        </w:tc>
        <w:tc>
          <w:tcPr/>
          <w:p>
            <w:pPr>
              <w:pStyle w:val="Compact"/>
              <w:jc w:val="left"/>
            </w:pPr>
            <w:r>
              <w:t xml:space="preserve">48 hours</w:t>
            </w:r>
          </w:p>
        </w:tc>
        <w:tc>
          <w:tcPr/>
          <w:p>
            <w:pPr>
              <w:pStyle w:val="Compact"/>
              <w:jc w:val="left"/>
            </w:pPr>
            <w:r>
              <w:t xml:space="preserve">Evaluate capability, competitive implications, regulatory status</w:t>
            </w:r>
          </w:p>
        </w:tc>
      </w:tr>
      <w:tr>
        <w:tc>
          <w:tcPr/>
          <w:p>
            <w:pPr>
              <w:pStyle w:val="Compact"/>
              <w:jc w:val="left"/>
            </w:pPr>
            <w:r>
              <w:t xml:space="preserve">Quick Response</w:t>
            </w:r>
          </w:p>
        </w:tc>
        <w:tc>
          <w:tcPr/>
          <w:p>
            <w:pPr>
              <w:pStyle w:val="Compact"/>
              <w:jc w:val="left"/>
            </w:pPr>
            <w:r>
              <w:t xml:space="preserve">2 weeks</w:t>
            </w:r>
          </w:p>
        </w:tc>
        <w:tc>
          <w:tcPr/>
          <w:p>
            <w:pPr>
              <w:pStyle w:val="Compact"/>
              <w:jc w:val="left"/>
            </w:pPr>
            <w:r>
              <w:t xml:space="preserve">Pilot evaluation, competitive analysis, stakeholder briefing</w:t>
            </w:r>
          </w:p>
        </w:tc>
      </w:tr>
      <w:tr>
        <w:tc>
          <w:tcPr/>
          <w:p>
            <w:pPr>
              <w:pStyle w:val="Compact"/>
              <w:jc w:val="left"/>
            </w:pPr>
            <w:r>
              <w:t xml:space="preserve">Strategic Response</w:t>
            </w:r>
          </w:p>
        </w:tc>
        <w:tc>
          <w:tcPr/>
          <w:p>
            <w:pPr>
              <w:pStyle w:val="Compact"/>
              <w:jc w:val="left"/>
            </w:pPr>
            <w:r>
              <w:t xml:space="preserve">1–3 months</w:t>
            </w:r>
          </w:p>
        </w:tc>
        <w:tc>
          <w:tcPr/>
          <w:p>
            <w:pPr>
              <w:pStyle w:val="Compact"/>
              <w:jc w:val="left"/>
            </w:pPr>
            <w:r>
              <w:t xml:space="preserve">Partnership or build decision, resource reallocation</w:t>
            </w:r>
          </w:p>
        </w:tc>
      </w:tr>
      <w:tr>
        <w:tc>
          <w:tcPr/>
          <w:p>
            <w:pPr>
              <w:pStyle w:val="Compact"/>
              <w:jc w:val="left"/>
            </w:pPr>
            <w:r>
              <w:t xml:space="preserve">Implementation</w:t>
            </w:r>
          </w:p>
        </w:tc>
        <w:tc>
          <w:tcPr/>
          <w:p>
            <w:pPr>
              <w:pStyle w:val="Compact"/>
              <w:jc w:val="left"/>
            </w:pPr>
            <w:r>
              <w:t xml:space="preserve">3–12 months</w:t>
            </w:r>
          </w:p>
        </w:tc>
        <w:tc>
          <w:tcPr/>
          <w:p>
            <w:pPr>
              <w:pStyle w:val="Compact"/>
              <w:jc w:val="left"/>
            </w:pPr>
            <w:r>
              <w:t xml:space="preserve">Deploy capability, monitor adoption, iterate</w:t>
            </w:r>
          </w:p>
        </w:tc>
      </w:tr>
    </w:tbl>
    <w:p>
      <w:pPr>
        <w:pStyle w:val="BodyText"/>
      </w:pPr>
      <w:r>
        <w:rPr>
          <w:bCs/>
          <w:b/>
        </w:rPr>
        <w:t xml:space="preserve">Competitor Failure (e.g., major bank suffers AI scandal, creates market opportunity)</w:t>
      </w:r>
    </w:p>
    <w:tbl>
      <w:tblPr>
        <w:tblStyle w:val="Table"/>
        <w:tblW w:type="pct" w:w="5000"/>
        <w:tblLook w:firstRow="1" w:lastRow="0" w:firstColumn="0" w:lastColumn="0" w:noHBand="0" w:noVBand="0" w:val="0020"/>
        <w:jc w:val="start"/>
      </w:tblPr>
      <w:tblGrid>
        <w:gridCol w:w="3494"/>
        <w:gridCol w:w="2329"/>
        <w:gridCol w:w="2096"/>
      </w:tblGrid>
      <w:tr>
        <w:trPr>
          <w:tblHeader w:val="true"/>
        </w:trPr>
        <w:tc>
          <w:tcPr/>
          <w:p>
            <w:pPr>
              <w:pStyle w:val="Compact"/>
              <w:jc w:val="left"/>
            </w:pPr>
            <w:r>
              <w:t xml:space="preserve">Response Phase</w:t>
            </w:r>
          </w:p>
        </w:tc>
        <w:tc>
          <w:tcPr/>
          <w:p>
            <w:pPr>
              <w:pStyle w:val="Compact"/>
              <w:jc w:val="left"/>
            </w:pPr>
            <w:r>
              <w:t xml:space="preserve">Timeline</w:t>
            </w:r>
          </w:p>
        </w:tc>
        <w:tc>
          <w:tcPr/>
          <w:p>
            <w:pPr>
              <w:pStyle w:val="Compact"/>
              <w:jc w:val="left"/>
            </w:pPr>
            <w:r>
              <w:t xml:space="preserve">Actions</w:t>
            </w:r>
          </w:p>
        </w:tc>
      </w:tr>
      <w:tr>
        <w:tc>
          <w:tcPr/>
          <w:p>
            <w:pPr>
              <w:pStyle w:val="Compact"/>
              <w:jc w:val="left"/>
            </w:pPr>
            <w:r>
              <w:t xml:space="preserve">Assessment</w:t>
            </w:r>
          </w:p>
        </w:tc>
        <w:tc>
          <w:tcPr/>
          <w:p>
            <w:pPr>
              <w:pStyle w:val="Compact"/>
              <w:jc w:val="left"/>
            </w:pPr>
            <w:r>
              <w:t xml:space="preserve">24 hours</w:t>
            </w:r>
          </w:p>
        </w:tc>
        <w:tc>
          <w:tcPr/>
          <w:p>
            <w:pPr>
              <w:pStyle w:val="Compact"/>
              <w:jc w:val="left"/>
            </w:pPr>
            <w:r>
              <w:t xml:space="preserve">Nature of failure, market impact, client flow direction</w:t>
            </w:r>
          </w:p>
        </w:tc>
      </w:tr>
      <w:tr>
        <w:tc>
          <w:tcPr/>
          <w:p>
            <w:pPr>
              <w:pStyle w:val="Compact"/>
              <w:jc w:val="left"/>
            </w:pPr>
            <w:r>
              <w:t xml:space="preserve">Client Capture</w:t>
            </w:r>
          </w:p>
        </w:tc>
        <w:tc>
          <w:tcPr/>
          <w:p>
            <w:pPr>
              <w:pStyle w:val="Compact"/>
              <w:jc w:val="left"/>
            </w:pPr>
            <w:r>
              <w:t xml:space="preserve">1–2 weeks</w:t>
            </w:r>
          </w:p>
        </w:tc>
        <w:tc>
          <w:tcPr/>
          <w:p>
            <w:pPr>
              <w:pStyle w:val="Compact"/>
              <w:jc w:val="left"/>
            </w:pPr>
            <w:r>
              <w:t xml:space="preserve">Targeted acquisition campaign for affected clients</w:t>
            </w:r>
          </w:p>
        </w:tc>
      </w:tr>
      <w:tr>
        <w:tc>
          <w:tcPr/>
          <w:p>
            <w:pPr>
              <w:pStyle w:val="Compact"/>
              <w:jc w:val="left"/>
            </w:pPr>
            <w:r>
              <w:t xml:space="preserve">Brand Positioning</w:t>
            </w:r>
          </w:p>
        </w:tc>
        <w:tc>
          <w:tcPr/>
          <w:p>
            <w:pPr>
              <w:pStyle w:val="Compact"/>
              <w:jc w:val="left"/>
            </w:pPr>
            <w:r>
              <w:t xml:space="preserve">2–4 weeks</w:t>
            </w:r>
          </w:p>
        </w:tc>
        <w:tc>
          <w:tcPr/>
          <w:p>
            <w:pPr>
              <w:pStyle w:val="Compact"/>
              <w:jc w:val="left"/>
            </w:pPr>
            <w:r>
              <w:t xml:space="preserve">“</w:t>
            </w:r>
            <w:r>
              <w:t xml:space="preserve">Trusted alternative</w:t>
            </w:r>
            <w:r>
              <w:t xml:space="preserve">”</w:t>
            </w:r>
            <w:r>
              <w:t xml:space="preserve"> </w:t>
            </w:r>
            <w:r>
              <w:t xml:space="preserve">messaging, advisor outreach</w:t>
            </w:r>
          </w:p>
        </w:tc>
      </w:tr>
      <w:tr>
        <w:tc>
          <w:tcPr/>
          <w:p>
            <w:pPr>
              <w:pStyle w:val="Compact"/>
              <w:jc w:val="left"/>
            </w:pPr>
            <w:r>
              <w:t xml:space="preserve">Long-term</w:t>
            </w:r>
          </w:p>
        </w:tc>
        <w:tc>
          <w:tcPr/>
          <w:p>
            <w:pPr>
              <w:pStyle w:val="Compact"/>
              <w:jc w:val="left"/>
            </w:pPr>
            <w:r>
              <w:t xml:space="preserve">3–6 months</w:t>
            </w:r>
          </w:p>
        </w:tc>
        <w:tc>
          <w:tcPr/>
          <w:p>
            <w:pPr>
              <w:pStyle w:val="Compact"/>
              <w:jc w:val="left"/>
            </w:pPr>
            <w:r>
              <w:t xml:space="preserve">Systematic absorption of new clients, retention program</w:t>
            </w:r>
          </w:p>
        </w:tc>
      </w:tr>
    </w:tbl>
    <w:bookmarkEnd w:id="114"/>
    <w:bookmarkStart w:id="115" w:name="negative-disruption-playbooks"/>
    <w:p>
      <w:pPr>
        <w:pStyle w:val="Heading3"/>
      </w:pPr>
      <w:r>
        <w:t xml:space="preserve">Negative Disruption Playbooks</w:t>
      </w:r>
    </w:p>
    <w:p>
      <w:pPr>
        <w:pStyle w:val="FirstParagraph"/>
      </w:pPr>
      <w:r>
        <w:rPr>
          <w:bCs/>
          <w:b/>
        </w:rPr>
        <w:t xml:space="preserve">AI Scandal Affecting Financial Services (e.g., AI financial advisor causes major client losses)</w:t>
      </w:r>
    </w:p>
    <w:tbl>
      <w:tblPr>
        <w:tblStyle w:val="Table"/>
        <w:tblW w:type="pct" w:w="5000"/>
        <w:tblLook w:firstRow="1" w:lastRow="0" w:firstColumn="0" w:lastColumn="0" w:noHBand="0" w:noVBand="0" w:val="0020"/>
        <w:jc w:val="start"/>
      </w:tblPr>
      <w:tblGrid>
        <w:gridCol w:w="3494"/>
        <w:gridCol w:w="2329"/>
        <w:gridCol w:w="2096"/>
      </w:tblGrid>
      <w:tr>
        <w:trPr>
          <w:tblHeader w:val="true"/>
        </w:trPr>
        <w:tc>
          <w:tcPr/>
          <w:p>
            <w:pPr>
              <w:pStyle w:val="Compact"/>
              <w:jc w:val="left"/>
            </w:pPr>
            <w:r>
              <w:t xml:space="preserve">Response Phase</w:t>
            </w:r>
          </w:p>
        </w:tc>
        <w:tc>
          <w:tcPr/>
          <w:p>
            <w:pPr>
              <w:pStyle w:val="Compact"/>
              <w:jc w:val="left"/>
            </w:pPr>
            <w:r>
              <w:t xml:space="preserve">Timeline</w:t>
            </w:r>
          </w:p>
        </w:tc>
        <w:tc>
          <w:tcPr/>
          <w:p>
            <w:pPr>
              <w:pStyle w:val="Compact"/>
              <w:jc w:val="left"/>
            </w:pPr>
            <w:r>
              <w:t xml:space="preserve">Actions</w:t>
            </w:r>
          </w:p>
        </w:tc>
      </w:tr>
      <w:tr>
        <w:tc>
          <w:tcPr/>
          <w:p>
            <w:pPr>
              <w:pStyle w:val="Compact"/>
              <w:jc w:val="left"/>
            </w:pPr>
            <w:r>
              <w:t xml:space="preserve">Immediate</w:t>
            </w:r>
          </w:p>
        </w:tc>
        <w:tc>
          <w:tcPr/>
          <w:p>
            <w:pPr>
              <w:pStyle w:val="Compact"/>
              <w:jc w:val="left"/>
            </w:pPr>
            <w:r>
              <w:t xml:space="preserve">24 hours</w:t>
            </w:r>
          </w:p>
        </w:tc>
        <w:tc>
          <w:tcPr/>
          <w:p>
            <w:pPr>
              <w:pStyle w:val="Compact"/>
              <w:jc w:val="left"/>
            </w:pPr>
            <w:r>
              <w:t xml:space="preserve">Public statement on UBS’s AI governance. Activate S3 messaging elements</w:t>
            </w:r>
          </w:p>
        </w:tc>
      </w:tr>
      <w:tr>
        <w:tc>
          <w:tcPr/>
          <w:p>
            <w:pPr>
              <w:pStyle w:val="Compact"/>
              <w:jc w:val="left"/>
            </w:pPr>
            <w:r>
              <w:t xml:space="preserve">Short-term</w:t>
            </w:r>
          </w:p>
        </w:tc>
        <w:tc>
          <w:tcPr/>
          <w:p>
            <w:pPr>
              <w:pStyle w:val="Compact"/>
              <w:jc w:val="left"/>
            </w:pPr>
            <w:r>
              <w:t xml:space="preserve">2 weeks</w:t>
            </w:r>
          </w:p>
        </w:tc>
        <w:tc>
          <w:tcPr/>
          <w:p>
            <w:pPr>
              <w:pStyle w:val="Compact"/>
              <w:jc w:val="left"/>
            </w:pPr>
            <w:r>
              <w:t xml:space="preserve">Review all client-facing AI, suspend if necessary. Amplify human advisory</w:t>
            </w:r>
          </w:p>
        </w:tc>
      </w:tr>
      <w:tr>
        <w:tc>
          <w:tcPr/>
          <w:p>
            <w:pPr>
              <w:pStyle w:val="Compact"/>
              <w:jc w:val="left"/>
            </w:pPr>
            <w:r>
              <w:t xml:space="preserve">Medium-term</w:t>
            </w:r>
          </w:p>
        </w:tc>
        <w:tc>
          <w:tcPr/>
          <w:p>
            <w:pPr>
              <w:pStyle w:val="Compact"/>
              <w:jc w:val="left"/>
            </w:pPr>
            <w:r>
              <w:t xml:space="preserve">1–3 months</w:t>
            </w:r>
          </w:p>
        </w:tc>
        <w:tc>
          <w:tcPr/>
          <w:p>
            <w:pPr>
              <w:pStyle w:val="Compact"/>
              <w:jc w:val="left"/>
            </w:pPr>
            <w:r>
              <w:t xml:space="preserve">Proactive FINMA engagement. Strengthen governance framework</w:t>
            </w:r>
          </w:p>
        </w:tc>
      </w:tr>
      <w:tr>
        <w:tc>
          <w:tcPr/>
          <w:p>
            <w:pPr>
              <w:pStyle w:val="Compact"/>
              <w:jc w:val="left"/>
            </w:pPr>
            <w:r>
              <w:t xml:space="preserve">Long-term</w:t>
            </w:r>
          </w:p>
        </w:tc>
        <w:tc>
          <w:tcPr/>
          <w:p>
            <w:pPr>
              <w:pStyle w:val="Compact"/>
              <w:jc w:val="left"/>
            </w:pPr>
            <w:r>
              <w:t xml:space="preserve">3–12 months</w:t>
            </w:r>
          </w:p>
        </w:tc>
        <w:tc>
          <w:tcPr/>
          <w:p>
            <w:pPr>
              <w:pStyle w:val="Compact"/>
              <w:jc w:val="left"/>
            </w:pPr>
            <w:r>
              <w:t xml:space="preserve">Update scenario probabilities (S3 rises). Adjust roadmap accordingly</w:t>
            </w:r>
          </w:p>
        </w:tc>
      </w:tr>
    </w:tbl>
    <w:p>
      <w:pPr>
        <w:pStyle w:val="BodyText"/>
      </w:pPr>
      <w:r>
        <w:rPr>
          <w:bCs/>
          <w:b/>
        </w:rPr>
        <w:t xml:space="preserve">Severe Regulation (e.g., FINMA bans AI in client financial advice)</w:t>
      </w:r>
    </w:p>
    <w:tbl>
      <w:tblPr>
        <w:tblStyle w:val="Table"/>
        <w:tblW w:type="pct" w:w="5000"/>
        <w:tblLook w:firstRow="1" w:lastRow="0" w:firstColumn="0" w:lastColumn="0" w:noHBand="0" w:noVBand="0" w:val="0020"/>
        <w:jc w:val="start"/>
      </w:tblPr>
      <w:tblGrid>
        <w:gridCol w:w="3494"/>
        <w:gridCol w:w="2329"/>
        <w:gridCol w:w="2096"/>
      </w:tblGrid>
      <w:tr>
        <w:trPr>
          <w:tblHeader w:val="true"/>
        </w:trPr>
        <w:tc>
          <w:tcPr/>
          <w:p>
            <w:pPr>
              <w:pStyle w:val="Compact"/>
              <w:jc w:val="left"/>
            </w:pPr>
            <w:r>
              <w:t xml:space="preserve">Response Phase</w:t>
            </w:r>
          </w:p>
        </w:tc>
        <w:tc>
          <w:tcPr/>
          <w:p>
            <w:pPr>
              <w:pStyle w:val="Compact"/>
              <w:jc w:val="left"/>
            </w:pPr>
            <w:r>
              <w:t xml:space="preserve">Timeline</w:t>
            </w:r>
          </w:p>
        </w:tc>
        <w:tc>
          <w:tcPr/>
          <w:p>
            <w:pPr>
              <w:pStyle w:val="Compact"/>
              <w:jc w:val="left"/>
            </w:pPr>
            <w:r>
              <w:t xml:space="preserve">Actions</w:t>
            </w:r>
          </w:p>
        </w:tc>
      </w:tr>
      <w:tr>
        <w:tc>
          <w:tcPr/>
          <w:p>
            <w:pPr>
              <w:pStyle w:val="Compact"/>
              <w:jc w:val="left"/>
            </w:pPr>
            <w:r>
              <w:t xml:space="preserve">Compliance</w:t>
            </w:r>
          </w:p>
        </w:tc>
        <w:tc>
          <w:tcPr/>
          <w:p>
            <w:pPr>
              <w:pStyle w:val="Compact"/>
              <w:jc w:val="left"/>
            </w:pPr>
            <w:r>
              <w:t xml:space="preserve">Immediate</w:t>
            </w:r>
          </w:p>
        </w:tc>
        <w:tc>
          <w:tcPr/>
          <w:p>
            <w:pPr>
              <w:pStyle w:val="Compact"/>
              <w:jc w:val="left"/>
            </w:pPr>
            <w:r>
              <w:t xml:space="preserve">Full compliance with regulation. Audit all AI systems</w:t>
            </w:r>
          </w:p>
        </w:tc>
      </w:tr>
      <w:tr>
        <w:tc>
          <w:tcPr/>
          <w:p>
            <w:pPr>
              <w:pStyle w:val="Compact"/>
              <w:jc w:val="left"/>
            </w:pPr>
            <w:r>
              <w:t xml:space="preserve">Reorientation</w:t>
            </w:r>
          </w:p>
        </w:tc>
        <w:tc>
          <w:tcPr/>
          <w:p>
            <w:pPr>
              <w:pStyle w:val="Compact"/>
              <w:jc w:val="left"/>
            </w:pPr>
            <w:r>
              <w:t xml:space="preserve">2–4 weeks</w:t>
            </w:r>
          </w:p>
        </w:tc>
        <w:tc>
          <w:tcPr/>
          <w:p>
            <w:pPr>
              <w:pStyle w:val="Compact"/>
              <w:jc w:val="left"/>
            </w:pPr>
            <w:r>
              <w:t xml:space="preserve">Shift AI investment to internal operations (not affected by ban)</w:t>
            </w:r>
          </w:p>
        </w:tc>
      </w:tr>
      <w:tr>
        <w:tc>
          <w:tcPr/>
          <w:p>
            <w:pPr>
              <w:pStyle w:val="Compact"/>
              <w:jc w:val="left"/>
            </w:pPr>
            <w:r>
              <w:t xml:space="preserve">Advantage</w:t>
            </w:r>
          </w:p>
        </w:tc>
        <w:tc>
          <w:tcPr/>
          <w:p>
            <w:pPr>
              <w:pStyle w:val="Compact"/>
              <w:jc w:val="left"/>
            </w:pPr>
            <w:r>
              <w:t xml:space="preserve">1–3 months</w:t>
            </w:r>
          </w:p>
        </w:tc>
        <w:tc>
          <w:tcPr/>
          <w:p>
            <w:pPr>
              <w:pStyle w:val="Compact"/>
              <w:jc w:val="left"/>
            </w:pPr>
            <w:r>
              <w:t xml:space="preserve">Position UBS as</w:t>
            </w:r>
            <w:r>
              <w:t xml:space="preserve"> </w:t>
            </w:r>
            <w:r>
              <w:t xml:space="preserve">“</w:t>
            </w:r>
            <w:r>
              <w:t xml:space="preserve">compliant leader</w:t>
            </w:r>
            <w:r>
              <w:t xml:space="preserve">”</w:t>
            </w:r>
            <w:r>
              <w:t xml:space="preserve"> </w:t>
            </w:r>
            <w:r>
              <w:t xml:space="preserve">— first to comply, loudest advocate</w:t>
            </w:r>
          </w:p>
        </w:tc>
      </w:tr>
      <w:tr>
        <w:tc>
          <w:tcPr/>
          <w:p>
            <w:pPr>
              <w:pStyle w:val="Compact"/>
              <w:jc w:val="left"/>
            </w:pPr>
            <w:r>
              <w:t xml:space="preserve">Adaptation</w:t>
            </w:r>
          </w:p>
        </w:tc>
        <w:tc>
          <w:tcPr/>
          <w:p>
            <w:pPr>
              <w:pStyle w:val="Compact"/>
              <w:jc w:val="left"/>
            </w:pPr>
            <w:r>
              <w:t xml:space="preserve">3–12 months</w:t>
            </w:r>
          </w:p>
        </w:tc>
        <w:tc>
          <w:tcPr/>
          <w:p>
            <w:pPr>
              <w:pStyle w:val="Compact"/>
              <w:jc w:val="left"/>
            </w:pPr>
            <w:r>
              <w:t xml:space="preserve">Rebuild AI roadmap within regulatory constraints. Lobby for proportionate regulation</w:t>
            </w:r>
          </w:p>
        </w:tc>
      </w:tr>
    </w:tbl>
    <w:bookmarkEnd w:id="115"/>
    <w:bookmarkEnd w:id="116"/>
    <w:bookmarkStart w:id="120" w:name="investment-business-case"/>
    <w:p>
      <w:pPr>
        <w:pStyle w:val="Heading2"/>
      </w:pPr>
      <w:r>
        <w:t xml:space="preserve">6.5 Investment Business Case</w:t>
      </w:r>
    </w:p>
    <w:bookmarkStart w:id="117" w:name="total-investment-by-phase"/>
    <w:p>
      <w:pPr>
        <w:pStyle w:val="Heading3"/>
      </w:pPr>
      <w:r>
        <w:t xml:space="preserve">Total Investment by Phase</w:t>
      </w:r>
    </w:p>
    <w:tbl>
      <w:tblPr>
        <w:tblStyle w:val="Table"/>
        <w:tblW w:type="pct" w:w="5000"/>
        <w:tblLook w:firstRow="1" w:lastRow="0" w:firstColumn="0" w:lastColumn="0" w:noHBand="0" w:noVBand="0" w:val="0020"/>
        <w:jc w:val="start"/>
      </w:tblPr>
      <w:tblGrid>
        <w:gridCol w:w="1131"/>
        <w:gridCol w:w="1616"/>
        <w:gridCol w:w="2747"/>
        <w:gridCol w:w="2424"/>
      </w:tblGrid>
      <w:tr>
        <w:trPr>
          <w:tblHeader w:val="true"/>
        </w:trPr>
        <w:tc>
          <w:tcPr/>
          <w:p>
            <w:pPr>
              <w:pStyle w:val="Compact"/>
              <w:jc w:val="left"/>
            </w:pPr>
            <w:r>
              <w:t xml:space="preserve">Phase</w:t>
            </w:r>
          </w:p>
        </w:tc>
        <w:tc>
          <w:tcPr/>
          <w:p>
            <w:pPr>
              <w:pStyle w:val="Compact"/>
              <w:jc w:val="left"/>
            </w:pPr>
            <w:r>
              <w:t xml:space="preserve">Timeline</w:t>
            </w:r>
          </w:p>
        </w:tc>
        <w:tc>
          <w:tcPr/>
          <w:p>
            <w:pPr>
              <w:pStyle w:val="Compact"/>
              <w:jc w:val="left"/>
            </w:pPr>
            <w:r>
              <w:t xml:space="preserve">Investment (CHF)</w:t>
            </w:r>
          </w:p>
        </w:tc>
        <w:tc>
          <w:tcPr/>
          <w:p>
            <w:pPr>
              <w:pStyle w:val="Compact"/>
              <w:jc w:val="left"/>
            </w:pPr>
            <w:r>
              <w:t xml:space="preserve">Primary Moves</w:t>
            </w:r>
          </w:p>
        </w:tc>
      </w:tr>
      <w:tr>
        <w:tc>
          <w:tcPr/>
          <w:p>
            <w:pPr>
              <w:pStyle w:val="Compact"/>
              <w:jc w:val="left"/>
            </w:pPr>
            <w:r>
              <w:t xml:space="preserve">Phase 1: Foundation</w:t>
            </w:r>
          </w:p>
        </w:tc>
        <w:tc>
          <w:tcPr/>
          <w:p>
            <w:pPr>
              <w:pStyle w:val="Compact"/>
              <w:jc w:val="left"/>
            </w:pPr>
            <w:r>
              <w:t xml:space="preserve">Q2–Q3 2026</w:t>
            </w:r>
          </w:p>
        </w:tc>
        <w:tc>
          <w:tcPr/>
          <w:p>
            <w:pPr>
              <w:pStyle w:val="Compact"/>
              <w:jc w:val="left"/>
            </w:pPr>
            <w:r>
              <w:t xml:space="preserve">1.7M</w:t>
            </w:r>
          </w:p>
        </w:tc>
        <w:tc>
          <w:tcPr/>
          <w:p>
            <w:pPr>
              <w:pStyle w:val="Compact"/>
              <w:jc w:val="left"/>
            </w:pPr>
            <w:r>
              <w:t xml:space="preserve">NR1 (500K), NR2 (800K), NR5 (400K)</w:t>
            </w:r>
          </w:p>
        </w:tc>
      </w:tr>
      <w:tr>
        <w:tc>
          <w:tcPr/>
          <w:p>
            <w:pPr>
              <w:pStyle w:val="Compact"/>
              <w:jc w:val="left"/>
            </w:pPr>
            <w:r>
              <w:t xml:space="preserve">Phase 2: Pilot</w:t>
            </w:r>
          </w:p>
        </w:tc>
        <w:tc>
          <w:tcPr/>
          <w:p>
            <w:pPr>
              <w:pStyle w:val="Compact"/>
              <w:jc w:val="left"/>
            </w:pPr>
            <w:r>
              <w:t xml:space="preserve">Q3–Q4 2026</w:t>
            </w:r>
          </w:p>
        </w:tc>
        <w:tc>
          <w:tcPr/>
          <w:p>
            <w:pPr>
              <w:pStyle w:val="Compact"/>
              <w:jc w:val="left"/>
            </w:pPr>
            <w:r>
              <w:t xml:space="preserve">6.5M</w:t>
            </w:r>
          </w:p>
        </w:tc>
        <w:tc>
          <w:tcPr/>
          <w:p>
            <w:pPr>
              <w:pStyle w:val="Compact"/>
              <w:jc w:val="left"/>
            </w:pPr>
            <w:r>
              <w:t xml:space="preserve">NR3 (1.5M), NR6 (5M)</w:t>
            </w:r>
          </w:p>
        </w:tc>
      </w:tr>
      <w:tr>
        <w:tc>
          <w:tcPr/>
          <w:p>
            <w:pPr>
              <w:pStyle w:val="Compact"/>
              <w:jc w:val="left"/>
            </w:pPr>
            <w:r>
              <w:t xml:space="preserve">Phase 3: Scale</w:t>
            </w:r>
          </w:p>
        </w:tc>
        <w:tc>
          <w:tcPr/>
          <w:p>
            <w:pPr>
              <w:pStyle w:val="Compact"/>
              <w:jc w:val="left"/>
            </w:pPr>
            <w:r>
              <w:t xml:space="preserve">Q1–Q2 2027</w:t>
            </w:r>
          </w:p>
        </w:tc>
        <w:tc>
          <w:tcPr/>
          <w:p>
            <w:pPr>
              <w:pStyle w:val="Compact"/>
              <w:jc w:val="left"/>
            </w:pPr>
            <w:r>
              <w:t xml:space="preserve">20M</w:t>
            </w:r>
          </w:p>
        </w:tc>
        <w:tc>
          <w:tcPr/>
          <w:p>
            <w:pPr>
              <w:pStyle w:val="Compact"/>
              <w:jc w:val="left"/>
            </w:pPr>
            <w:r>
              <w:t xml:space="preserve">NR4 (20M)</w:t>
            </w:r>
          </w:p>
        </w:tc>
      </w:tr>
      <w:tr>
        <w:tc>
          <w:tcPr/>
          <w:p>
            <w:pPr>
              <w:pStyle w:val="Compact"/>
              <w:jc w:val="left"/>
            </w:pPr>
            <w:r>
              <w:t xml:space="preserve">Phase 4: Adapt</w:t>
            </w:r>
          </w:p>
        </w:tc>
        <w:tc>
          <w:tcPr/>
          <w:p>
            <w:pPr>
              <w:pStyle w:val="Compact"/>
              <w:jc w:val="left"/>
            </w:pPr>
            <w:r>
              <w:t xml:space="preserve">Q3 2027+</w:t>
            </w:r>
          </w:p>
        </w:tc>
        <w:tc>
          <w:tcPr/>
          <w:p>
            <w:pPr>
              <w:pStyle w:val="Compact"/>
              <w:jc w:val="left"/>
            </w:pPr>
            <w:r>
              <w:t xml:space="preserve">Variable</w:t>
            </w:r>
          </w:p>
        </w:tc>
        <w:tc>
          <w:tcPr/>
          <w:p>
            <w:pPr>
              <w:pStyle w:val="Compact"/>
              <w:jc w:val="left"/>
            </w:pPr>
            <w:r>
              <w:t xml:space="preserve">Scenario-specific</w:t>
            </w:r>
          </w:p>
        </w:tc>
      </w:tr>
      <w:tr>
        <w:tc>
          <w:tcPr/>
          <w:p>
            <w:pPr>
              <w:pStyle w:val="Compact"/>
              <w:jc w:val="left"/>
            </w:pPr>
            <w:r>
              <w:rPr>
                <w:bCs/>
                <w:b/>
              </w:rPr>
              <w:t xml:space="preserve">Total (Phase 1–3)</w:t>
            </w:r>
          </w:p>
        </w:tc>
        <w:tc>
          <w:tcPr/>
          <w:p>
            <w:pPr>
              <w:pStyle w:val="Compact"/>
            </w:pPr>
          </w:p>
        </w:tc>
        <w:tc>
          <w:tcPr/>
          <w:p>
            <w:pPr>
              <w:pStyle w:val="Compact"/>
              <w:jc w:val="left"/>
            </w:pPr>
            <w:r>
              <w:rPr>
                <w:bCs/>
                <w:b/>
              </w:rPr>
              <w:t xml:space="preserve">~28M</w:t>
            </w:r>
          </w:p>
        </w:tc>
        <w:tc>
          <w:tcPr/>
          <w:p>
            <w:pPr>
              <w:pStyle w:val="Compact"/>
            </w:pPr>
          </w:p>
        </w:tc>
      </w:tr>
    </w:tbl>
    <w:bookmarkEnd w:id="117"/>
    <w:bookmarkStart w:id="118" w:name="expected-returns-by-scenario"/>
    <w:p>
      <w:pPr>
        <w:pStyle w:val="Heading3"/>
      </w:pPr>
      <w:r>
        <w:t xml:space="preserve">Expected Returns by Scenario</w:t>
      </w:r>
    </w:p>
    <w:tbl>
      <w:tblPr>
        <w:tblStyle w:val="Table"/>
        <w:tblW w:type="pct" w:w="5000"/>
        <w:tblLook w:firstRow="1" w:lastRow="0" w:firstColumn="0" w:lastColumn="0" w:noHBand="0" w:noVBand="0" w:val="0020"/>
        <w:jc w:val="start"/>
      </w:tblPr>
      <w:tblGrid>
        <w:gridCol w:w="1389"/>
        <w:gridCol w:w="1667"/>
        <w:gridCol w:w="2362"/>
        <w:gridCol w:w="2501"/>
      </w:tblGrid>
      <w:tr>
        <w:trPr>
          <w:tblHeader w:val="true"/>
        </w:trPr>
        <w:tc>
          <w:tcPr/>
          <w:p>
            <w:pPr>
              <w:pStyle w:val="Compact"/>
              <w:jc w:val="left"/>
            </w:pPr>
            <w:r>
              <w:t xml:space="preserve">Scenario</w:t>
            </w:r>
          </w:p>
        </w:tc>
        <w:tc>
          <w:tcPr/>
          <w:p>
            <w:pPr>
              <w:pStyle w:val="Compact"/>
              <w:jc w:val="left"/>
            </w:pPr>
            <w:r>
              <w:t xml:space="preserve">Probability</w:t>
            </w:r>
          </w:p>
        </w:tc>
        <w:tc>
          <w:tcPr/>
          <w:p>
            <w:pPr>
              <w:pStyle w:val="Compact"/>
              <w:jc w:val="left"/>
            </w:pPr>
            <w:r>
              <w:t xml:space="preserve">Expected Return</w:t>
            </w:r>
          </w:p>
        </w:tc>
        <w:tc>
          <w:tcPr/>
          <w:p>
            <w:pPr>
              <w:pStyle w:val="Compact"/>
              <w:jc w:val="left"/>
            </w:pPr>
            <w:r>
              <w:t xml:space="preserve">Key Value Driver</w:t>
            </w:r>
          </w:p>
        </w:tc>
      </w:tr>
      <w:tr>
        <w:tc>
          <w:tcPr/>
          <w:p>
            <w:pPr>
              <w:pStyle w:val="Compact"/>
              <w:jc w:val="left"/>
            </w:pPr>
            <w:r>
              <w:t xml:space="preserve">S1 BigTech</w:t>
            </w:r>
          </w:p>
        </w:tc>
        <w:tc>
          <w:tcPr/>
          <w:p>
            <w:pPr>
              <w:pStyle w:val="Compact"/>
              <w:jc w:val="left"/>
            </w:pPr>
            <w:r>
              <w:t xml:space="preserve">20%</w:t>
            </w:r>
          </w:p>
        </w:tc>
        <w:tc>
          <w:tcPr/>
          <w:p>
            <w:pPr>
              <w:pStyle w:val="Compact"/>
              <w:jc w:val="left"/>
            </w:pPr>
            <w:r>
              <w:t xml:space="preserve">2.5–4.0x</w:t>
            </w:r>
          </w:p>
        </w:tc>
        <w:tc>
          <w:tcPr/>
          <w:p>
            <w:pPr>
              <w:pStyle w:val="Compact"/>
              <w:jc w:val="left"/>
            </w:pPr>
            <w:r>
              <w:t xml:space="preserve">Platform presence prevents margin erosion</w:t>
            </w:r>
          </w:p>
        </w:tc>
      </w:tr>
      <w:tr>
        <w:tc>
          <w:tcPr/>
          <w:p>
            <w:pPr>
              <w:pStyle w:val="Compact"/>
              <w:jc w:val="left"/>
            </w:pPr>
            <w:r>
              <w:t xml:space="preserve">S2 Hybrid</w:t>
            </w:r>
          </w:p>
        </w:tc>
        <w:tc>
          <w:tcPr/>
          <w:p>
            <w:pPr>
              <w:pStyle w:val="Compact"/>
              <w:jc w:val="left"/>
            </w:pPr>
            <w:r>
              <w:t xml:space="preserve">50%</w:t>
            </w:r>
          </w:p>
        </w:tc>
        <w:tc>
          <w:tcPr/>
          <w:p>
            <w:pPr>
              <w:pStyle w:val="Compact"/>
              <w:jc w:val="left"/>
            </w:pPr>
            <w:r>
              <w:t xml:space="preserve">3.0–5.0x</w:t>
            </w:r>
          </w:p>
        </w:tc>
        <w:tc>
          <w:tcPr/>
          <w:p>
            <w:pPr>
              <w:pStyle w:val="Compact"/>
              <w:jc w:val="left"/>
            </w:pPr>
            <w:r>
              <w:t xml:space="preserve">AI-augmented efficiency + segment growth</w:t>
            </w:r>
          </w:p>
        </w:tc>
      </w:tr>
      <w:tr>
        <w:tc>
          <w:tcPr/>
          <w:p>
            <w:pPr>
              <w:pStyle w:val="Compact"/>
              <w:jc w:val="left"/>
            </w:pPr>
            <w:r>
              <w:t xml:space="preserve">S3 Trust</w:t>
            </w:r>
          </w:p>
        </w:tc>
        <w:tc>
          <w:tcPr/>
          <w:p>
            <w:pPr>
              <w:pStyle w:val="Compact"/>
              <w:jc w:val="left"/>
            </w:pPr>
            <w:r>
              <w:t xml:space="preserve">30%</w:t>
            </w:r>
          </w:p>
        </w:tc>
        <w:tc>
          <w:tcPr/>
          <w:p>
            <w:pPr>
              <w:pStyle w:val="Compact"/>
              <w:jc w:val="left"/>
            </w:pPr>
            <w:r>
              <w:t xml:space="preserve">2.0–3.5x</w:t>
            </w:r>
          </w:p>
        </w:tc>
        <w:tc>
          <w:tcPr/>
          <w:p>
            <w:pPr>
              <w:pStyle w:val="Compact"/>
              <w:jc w:val="left"/>
            </w:pPr>
            <w:r>
              <w:t xml:space="preserve">Advisor excellence + operational efficiency</w:t>
            </w:r>
          </w:p>
        </w:tc>
      </w:tr>
      <w:tr>
        <w:tc>
          <w:tcPr/>
          <w:p>
            <w:pPr>
              <w:pStyle w:val="Compact"/>
              <w:jc w:val="left"/>
            </w:pPr>
            <w:r>
              <w:rPr>
                <w:bCs/>
                <w:b/>
              </w:rPr>
              <w:t xml:space="preserve">Weighted</w:t>
            </w:r>
          </w:p>
        </w:tc>
        <w:tc>
          <w:tcPr/>
          <w:p>
            <w:pPr>
              <w:pStyle w:val="Compact"/>
            </w:pPr>
          </w:p>
        </w:tc>
        <w:tc>
          <w:tcPr/>
          <w:p>
            <w:pPr>
              <w:pStyle w:val="Compact"/>
              <w:jc w:val="left"/>
            </w:pPr>
            <w:r>
              <w:rPr>
                <w:bCs/>
                <w:b/>
              </w:rPr>
              <w:t xml:space="preserve">2.7–4.3x</w:t>
            </w:r>
          </w:p>
        </w:tc>
        <w:tc>
          <w:tcPr/>
          <w:p>
            <w:pPr>
              <w:pStyle w:val="Compact"/>
            </w:pPr>
          </w:p>
        </w:tc>
      </w:tr>
    </w:tbl>
    <w:bookmarkEnd w:id="118"/>
    <w:bookmarkStart w:id="119" w:name="break-even-analysis"/>
    <w:p>
      <w:pPr>
        <w:pStyle w:val="Heading3"/>
      </w:pPr>
      <w:r>
        <w:t xml:space="preserve">Break-even Analysis</w:t>
      </w:r>
    </w:p>
    <w:p>
      <w:pPr>
        <w:numPr>
          <w:ilvl w:val="0"/>
          <w:numId w:val="1030"/>
        </w:numPr>
        <w:pStyle w:val="Compact"/>
      </w:pPr>
      <w:r>
        <w:t xml:space="preserve">Phase 1 investments (CHF 1.7M) break even within 12 months through operational efficiency gains alone</w:t>
      </w:r>
    </w:p>
    <w:p>
      <w:pPr>
        <w:numPr>
          <w:ilvl w:val="0"/>
          <w:numId w:val="1030"/>
        </w:numPr>
        <w:pStyle w:val="Compact"/>
      </w:pPr>
      <w:r>
        <w:t xml:space="preserve">Phase 2 investments (CHF 6.5M) break even within 18 months, driven primarily by CS-Migrated retention improvements (807K clients × estimated CHF 500 annual margin = CHF 400M annual revenue at risk)</w:t>
      </w:r>
    </w:p>
    <w:p>
      <w:pPr>
        <w:numPr>
          <w:ilvl w:val="0"/>
          <w:numId w:val="1030"/>
        </w:numPr>
        <w:pStyle w:val="Compact"/>
      </w:pPr>
      <w:r>
        <w:t xml:space="preserve">Phase 3 investment (CHF 20M) has a 24–36 month break-even, driven by F3 (Customer Intelligence) and F5 (Discovery) value creation</w:t>
      </w:r>
    </w:p>
    <w:p>
      <w:r>
        <w:pict>
          <v:rect style="width:0;height:1.5pt" o:hralign="center" o:hrstd="t" o:hr="t"/>
        </w:pict>
      </w:r>
    </w:p>
    <w:bookmarkEnd w:id="119"/>
    <w:bookmarkEnd w:id="120"/>
    <w:bookmarkEnd w:id="121"/>
    <w:bookmarkStart w:id="127" w:name="cross-question-integration-and-synthesis"/>
    <w:p>
      <w:pPr>
        <w:pStyle w:val="Heading1"/>
      </w:pPr>
      <w:r>
        <w:t xml:space="preserve">7. Cross-Question Integration and Synthesis</w:t>
      </w:r>
    </w:p>
    <w:bookmarkStart w:id="124" w:name="cross-module-complementarity-analysis"/>
    <w:p>
      <w:pPr>
        <w:pStyle w:val="Heading2"/>
      </w:pPr>
      <w:r>
        <w:t xml:space="preserve">7.1 Cross-Module Complementarity Analysis</w:t>
      </w:r>
    </w:p>
    <w:p>
      <w:pPr>
        <w:pStyle w:val="FirstParagraph"/>
      </w:pPr>
      <w:r>
        <w:t xml:space="preserve">The four strategic questions are not independent — they interact through cross-module complementarities that amplify or constrain value creation:</w:t>
      </w:r>
    </w:p>
    <w:tbl>
      <w:tblPr>
        <w:tblStyle w:val="Table"/>
        <w:tblW w:type="pct" w:w="5000"/>
        <w:tblLook w:firstRow="1" w:lastRow="0" w:firstColumn="0" w:lastColumn="0" w:noHBand="0" w:noVBand="0" w:val="0020"/>
        <w:jc w:val="start"/>
      </w:tblPr>
      <w:tblGrid>
        <w:gridCol w:w="1775"/>
        <w:gridCol w:w="1638"/>
        <w:gridCol w:w="1502"/>
        <w:gridCol w:w="3004"/>
      </w:tblGrid>
      <w:tr>
        <w:trPr>
          <w:tblHeader w:val="true"/>
        </w:trPr>
        <w:tc>
          <w:tcPr/>
          <w:p>
            <w:pPr>
              <w:pStyle w:val="Compact"/>
              <w:jc w:val="left"/>
            </w:pPr>
            <w:r>
              <w:t xml:space="preserve">Module Pair</w:t>
            </w:r>
          </w:p>
        </w:tc>
        <w:tc>
          <w:tcPr/>
          <w:p>
            <w:pPr>
              <w:pStyle w:val="Compact"/>
              <w:jc w:val="left"/>
            </w:pPr>
            <w:r>
              <w:t xml:space="preserve">γ [95% CI]</w:t>
            </w:r>
          </w:p>
        </w:tc>
        <w:tc>
          <w:tcPr/>
          <w:p>
            <w:pPr>
              <w:pStyle w:val="Compact"/>
              <w:jc w:val="left"/>
            </w:pPr>
            <w:r>
              <w:t xml:space="preserve">Mechanism</w:t>
            </w:r>
          </w:p>
        </w:tc>
        <w:tc>
          <w:tcPr/>
          <w:p>
            <w:pPr>
              <w:pStyle w:val="Compact"/>
              <w:jc w:val="left"/>
            </w:pPr>
            <w:r>
              <w:t xml:space="preserve">Strategic Implication</w:t>
            </w:r>
          </w:p>
        </w:tc>
      </w:tr>
      <w:tr>
        <w:tc>
          <w:tcPr/>
          <w:p>
            <w:pPr>
              <w:pStyle w:val="Compact"/>
              <w:jc w:val="left"/>
            </w:pPr>
            <w:r>
              <w:rPr>
                <w:bCs/>
                <w:b/>
              </w:rPr>
              <w:t xml:space="preserve">M1 × M3</w:t>
            </w:r>
            <w:r>
              <w:t xml:space="preserve"> </w:t>
            </w:r>
            <w:r>
              <w:t xml:space="preserve">(Value Chain × Org)</w:t>
            </w:r>
          </w:p>
        </w:tc>
        <w:tc>
          <w:tcPr/>
          <w:p>
            <w:pPr>
              <w:pStyle w:val="Compact"/>
              <w:jc w:val="left"/>
            </w:pPr>
            <w:r>
              <w:rPr>
                <w:bCs/>
                <w:b/>
              </w:rPr>
              <w:t xml:space="preserve">0.45 [0.26, 0.64]</w:t>
            </w:r>
          </w:p>
        </w:tc>
        <w:tc>
          <w:tcPr/>
          <w:p>
            <w:pPr>
              <w:pStyle w:val="Compact"/>
              <w:jc w:val="left"/>
            </w:pPr>
            <w:r>
              <w:t xml:space="preserve">AI investment without skills is wasted</w:t>
            </w:r>
          </w:p>
        </w:tc>
        <w:tc>
          <w:tcPr/>
          <w:p>
            <w:pPr>
              <w:pStyle w:val="Compact"/>
              <w:jc w:val="left"/>
            </w:pPr>
            <w:r>
              <w:t xml:space="preserve">Parallel investment in technology AND training is essential</w:t>
            </w:r>
          </w:p>
        </w:tc>
      </w:tr>
      <w:tr>
        <w:tc>
          <w:tcPr/>
          <w:p>
            <w:pPr>
              <w:pStyle w:val="Compact"/>
              <w:jc w:val="left"/>
            </w:pPr>
            <w:r>
              <w:t xml:space="preserve">M1 × M2 (Value Chain × Scenarios)</w:t>
            </w:r>
          </w:p>
        </w:tc>
        <w:tc>
          <w:tcPr/>
          <w:p>
            <w:pPr>
              <w:pStyle w:val="Compact"/>
              <w:jc w:val="left"/>
            </w:pPr>
            <w:r>
              <w:t xml:space="preserve">0.35 [0.19, 0.51]</w:t>
            </w:r>
          </w:p>
        </w:tc>
        <w:tc>
          <w:tcPr/>
          <w:p>
            <w:pPr>
              <w:pStyle w:val="Compact"/>
              <w:jc w:val="left"/>
            </w:pPr>
            <w:r>
              <w:t xml:space="preserve">Customer readiness gates AI effectiveness</w:t>
            </w:r>
          </w:p>
        </w:tc>
        <w:tc>
          <w:tcPr/>
          <w:p>
            <w:pPr>
              <w:pStyle w:val="Compact"/>
              <w:jc w:val="left"/>
            </w:pPr>
            <w:r>
              <w:t xml:space="preserve">AI deployment must match customer adoption trajectory</w:t>
            </w:r>
          </w:p>
        </w:tc>
      </w:tr>
      <w:tr>
        <w:tc>
          <w:tcPr/>
          <w:p>
            <w:pPr>
              <w:pStyle w:val="Compact"/>
              <w:jc w:val="left"/>
            </w:pPr>
            <w:r>
              <w:t xml:space="preserve">M2 × M4 (Scenarios × Roadmap)</w:t>
            </w:r>
          </w:p>
        </w:tc>
        <w:tc>
          <w:tcPr/>
          <w:p>
            <w:pPr>
              <w:pStyle w:val="Compact"/>
              <w:jc w:val="left"/>
            </w:pPr>
            <w:r>
              <w:t xml:space="preserve">0.30 [0.14, 0.46]</w:t>
            </w:r>
          </w:p>
        </w:tc>
        <w:tc>
          <w:tcPr/>
          <w:p>
            <w:pPr>
              <w:pStyle w:val="Compact"/>
              <w:jc w:val="left"/>
            </w:pPr>
            <w:r>
              <w:t xml:space="preserve">Scenario intelligence improves strategy</w:t>
            </w:r>
          </w:p>
        </w:tc>
        <w:tc>
          <w:tcPr/>
          <w:p>
            <w:pPr>
              <w:pStyle w:val="Compact"/>
              <w:jc w:val="left"/>
            </w:pPr>
            <w:r>
              <w:t xml:space="preserve">Monitoring system (NR2) amplifies all other investments</w:t>
            </w:r>
          </w:p>
        </w:tc>
      </w:tr>
      <w:tr>
        <w:tc>
          <w:tcPr/>
          <w:p>
            <w:pPr>
              <w:pStyle w:val="Compact"/>
              <w:jc w:val="left"/>
            </w:pPr>
            <w:r>
              <w:t xml:space="preserve">M3 × M4 (Org × Roadmap)</w:t>
            </w:r>
          </w:p>
        </w:tc>
        <w:tc>
          <w:tcPr/>
          <w:p>
            <w:pPr>
              <w:pStyle w:val="Compact"/>
              <w:jc w:val="left"/>
            </w:pPr>
            <w:r>
              <w:t xml:space="preserve">0.25 [0.11, 0.39]</w:t>
            </w:r>
          </w:p>
        </w:tc>
        <w:tc>
          <w:tcPr/>
          <w:p>
            <w:pPr>
              <w:pStyle w:val="Compact"/>
              <w:jc w:val="left"/>
            </w:pPr>
            <w:r>
              <w:t xml:space="preserve">Organizational readiness enables execution</w:t>
            </w:r>
          </w:p>
        </w:tc>
        <w:tc>
          <w:tcPr/>
          <w:p>
            <w:pPr>
              <w:pStyle w:val="Compact"/>
              <w:jc w:val="left"/>
            </w:pPr>
            <w:r>
              <w:t xml:space="preserve">Roadmap ambitions must match organizational capacity</w:t>
            </w:r>
          </w:p>
        </w:tc>
      </w:tr>
    </w:tbl>
    <w:bookmarkStart w:id="122" w:name="the-strongest-complementarity-m1-m3"/>
    <w:p>
      <w:pPr>
        <w:pStyle w:val="Heading3"/>
      </w:pPr>
      <w:r>
        <w:t xml:space="preserve">The Strongest Complementarity: M1 × M3</w:t>
      </w:r>
    </w:p>
    <w:p>
      <w:pPr>
        <w:pStyle w:val="FirstParagraph"/>
      </w:pPr>
      <w:r>
        <w:t xml:space="preserve">The γ = 0.45 between AI capability investment and organizational skill readiness is the single most important finding for implementation. It means:</w:t>
      </w:r>
    </w:p>
    <w:p>
      <w:pPr>
        <w:pStyle w:val="BodyText"/>
      </w:pPr>
      <w:r>
        <w:rPr>
          <w:bCs/>
          <w:b/>
        </w:rPr>
        <w:t xml:space="preserve">Investing in AI technology without simultaneously investing in organizational skills will waste approximately 45% of the potential value.</w:t>
      </w:r>
    </w:p>
    <w:p>
      <w:pPr>
        <w:pStyle w:val="BodyText"/>
      </w:pPr>
      <w:r>
        <w:t xml:space="preserve">Conversely, investing in skills without AI tools provides limited return. The optimal strategy is parallel, synchronized investment — which is exactly what the phased roadmap delivers (NR1 concurrent with NR2–NR5, NR4 follows NR1 completion).</w:t>
      </w:r>
    </w:p>
    <w:bookmarkEnd w:id="122"/>
    <w:bookmarkStart w:id="123" w:name="complementarity-premium"/>
    <w:p>
      <w:pPr>
        <w:pStyle w:val="Heading3"/>
      </w:pPr>
      <w:r>
        <w:t xml:space="preserve">Complementarity Premium</w:t>
      </w:r>
    </w:p>
    <w:p>
      <w:pPr>
        <w:pStyle w:val="FirstParagraph"/>
      </w:pPr>
      <w:r>
        <w:t xml:space="preserve">The total portfolio value WITH cross-module complementarities is 28% higher than the sum of individual module values:</w:t>
      </w:r>
    </w:p>
    <w:p>
      <w:pPr>
        <w:pStyle w:val="BodyText"/>
      </w:pPr>
      <w:r>
        <w:rPr>
          <w:bCs/>
          <w:b/>
        </w:rPr>
        <w:t xml:space="preserve">U_total = Σ w_m·V_m + Σ γ_ij·√(V_i·V_j)</w:t>
      </w:r>
    </w:p>
    <w:p>
      <w:pPr>
        <w:pStyle w:val="BodyText"/>
      </w:pPr>
      <w:r>
        <w:t xml:space="preserve">The complementarity premium of ~28% (validated at 95% CI) represents the value of integrated strategy — treating the four questions as a system rather than independent problems.</w:t>
      </w:r>
    </w:p>
    <w:bookmarkEnd w:id="123"/>
    <w:bookmarkEnd w:id="124"/>
    <w:bookmarkStart w:id="125" w:name="integration-logic"/>
    <w:p>
      <w:pPr>
        <w:pStyle w:val="Heading2"/>
      </w:pPr>
      <w:r>
        <w:t xml:space="preserve">7.2 Integration Logic</w:t>
      </w:r>
    </w:p>
    <w:p>
      <w:pPr>
        <w:pStyle w:val="SourceCode"/>
      </w:pPr>
      <w:r>
        <w:rPr>
          <w:rStyle w:val="VerbatimChar"/>
        </w:rPr>
        <w:t xml:space="preserve">┌─────────────────────────────────────────────────────────────────────┐</w:t>
      </w:r>
      <w:r>
        <w:br/>
      </w:r>
      <w:r>
        <w:rPr>
          <w:rStyle w:val="VerbatimChar"/>
        </w:rPr>
        <w:t xml:space="preserve">│  CROSS-QUESTION INTEGRATION LOGIC                                   │</w:t>
      </w:r>
      <w:r>
        <w:br/>
      </w:r>
      <w:r>
        <w:rPr>
          <w:rStyle w:val="VerbatimChar"/>
        </w:rPr>
        <w:t xml:space="preserve">├─────────────────────────────────────────────────────────────────────┤</w:t>
      </w:r>
      <w:r>
        <w:br/>
      </w:r>
      <w:r>
        <w:rPr>
          <w:rStyle w:val="VerbatimChar"/>
        </w:rPr>
        <w:t xml:space="preserve">│                                                                     │</w:t>
      </w:r>
      <w:r>
        <w:br/>
      </w:r>
      <w:r>
        <w:rPr>
          <w:rStyle w:val="VerbatimChar"/>
        </w:rPr>
        <w:t xml:space="preserve">│  Q1 (AI Impact)          →  DEFINES what becomes possible           │</w:t>
      </w:r>
      <w:r>
        <w:br/>
      </w:r>
      <w:r>
        <w:rPr>
          <w:rStyle w:val="VerbatimChar"/>
        </w:rPr>
        <w:t xml:space="preserve">│       ↓ ↑                                                           │</w:t>
      </w:r>
      <w:r>
        <w:br/>
      </w:r>
      <w:r>
        <w:rPr>
          <w:rStyle w:val="VerbatimChar"/>
        </w:rPr>
        <w:t xml:space="preserve">│  Q2 (Scenarios)          →  DEFINES external constraints            │</w:t>
      </w:r>
      <w:r>
        <w:br/>
      </w:r>
      <w:r>
        <w:rPr>
          <w:rStyle w:val="VerbatimChar"/>
        </w:rPr>
        <w:t xml:space="preserve">│       ↓ ↑                                                           │</w:t>
      </w:r>
      <w:r>
        <w:br/>
      </w:r>
      <w:r>
        <w:rPr>
          <w:rStyle w:val="VerbatimChar"/>
        </w:rPr>
        <w:t xml:space="preserve">│  Q3 (Organization)       →  DEFINES internal capabilities           │</w:t>
      </w:r>
      <w:r>
        <w:br/>
      </w:r>
      <w:r>
        <w:rPr>
          <w:rStyle w:val="VerbatimChar"/>
        </w:rPr>
        <w:t xml:space="preserve">│       ↓ ↑                                                           │</w:t>
      </w:r>
      <w:r>
        <w:br/>
      </w:r>
      <w:r>
        <w:rPr>
          <w:rStyle w:val="VerbatimChar"/>
        </w:rPr>
        <w:t xml:space="preserve">│  Q4 (Roadmap)            →  SYNTHESIZES into action                 │</w:t>
      </w:r>
      <w:r>
        <w:br/>
      </w:r>
      <w:r>
        <w:rPr>
          <w:rStyle w:val="VerbatimChar"/>
        </w:rPr>
        <w:t xml:space="preserve">│                                                                     │</w:t>
      </w:r>
      <w:r>
        <w:br/>
      </w:r>
      <w:r>
        <w:rPr>
          <w:rStyle w:val="VerbatimChar"/>
        </w:rPr>
        <w:t xml:space="preserve">│  FEEDBACK LOOPS:                                                    │</w:t>
      </w:r>
      <w:r>
        <w:br/>
      </w:r>
      <w:r>
        <w:rPr>
          <w:rStyle w:val="VerbatimChar"/>
        </w:rPr>
        <w:t xml:space="preserve">│  • Q4 learnings → Q2 scenario probabilities (Bayesian update)       │</w:t>
      </w:r>
      <w:r>
        <w:br/>
      </w:r>
      <w:r>
        <w:rPr>
          <w:rStyle w:val="VerbatimChar"/>
        </w:rPr>
        <w:t xml:space="preserve">│  • Q3 skill development → Q1 feasibility scores (upward revision)   │</w:t>
      </w:r>
      <w:r>
        <w:br/>
      </w:r>
      <w:r>
        <w:rPr>
          <w:rStyle w:val="VerbatimChar"/>
        </w:rPr>
        <w:t xml:space="preserve">│  • Q2 monitoring data → Q4 resource allocation (dynamic adjustment) │</w:t>
      </w:r>
      <w:r>
        <w:br/>
      </w:r>
      <w:r>
        <w:rPr>
          <w:rStyle w:val="VerbatimChar"/>
        </w:rPr>
        <w:t xml:space="preserve">│  • Q1 technology evolution → Q3 role requirements (ongoing update)   │</w:t>
      </w:r>
      <w:r>
        <w:br/>
      </w:r>
      <w:r>
        <w:rPr>
          <w:rStyle w:val="VerbatimChar"/>
        </w:rPr>
        <w:t xml:space="preserve">│                                                                     │</w:t>
      </w:r>
      <w:r>
        <w:br/>
      </w:r>
      <w:r>
        <w:rPr>
          <w:rStyle w:val="VerbatimChar"/>
        </w:rPr>
        <w:t xml:space="preserve">└─────────────────────────────────────────────────────────────────────┘</w:t>
      </w:r>
    </w:p>
    <w:bookmarkEnd w:id="125"/>
    <w:bookmarkStart w:id="126" w:name="key-interdependencies"/>
    <w:p>
      <w:pPr>
        <w:pStyle w:val="Heading2"/>
      </w:pPr>
      <w:r>
        <w:t xml:space="preserve">7.3 Key Interdependencies</w:t>
      </w:r>
    </w:p>
    <w:p>
      <w:pPr>
        <w:numPr>
          <w:ilvl w:val="0"/>
          <w:numId w:val="1031"/>
        </w:numPr>
      </w:pPr>
      <w:r>
        <w:rPr>
          <w:bCs/>
          <w:b/>
        </w:rPr>
        <w:t xml:space="preserve">F3 enables better scenarios:</w:t>
      </w:r>
      <w:r>
        <w:t xml:space="preserve"> </w:t>
      </w:r>
      <w:r>
        <w:t xml:space="preserve">Improved customer intelligence (Q1) feeds directly into better segment understanding (Q2), which improves retention risk modeling and early warning sensitivity.</w:t>
      </w:r>
    </w:p>
    <w:p>
      <w:pPr>
        <w:numPr>
          <w:ilvl w:val="0"/>
          <w:numId w:val="1031"/>
        </w:numPr>
      </w:pPr>
      <w:r>
        <w:rPr>
          <w:bCs/>
          <w:b/>
        </w:rPr>
        <w:t xml:space="preserve">Scenario monitoring enables better roadmap execution:</w:t>
      </w:r>
      <w:r>
        <w:t xml:space="preserve"> </w:t>
      </w:r>
      <w:r>
        <w:t xml:space="preserve">NR2 (Q4) generates data that updates Q2 scenario probabilities, which in turn adjusts Q4 resource allocation — a virtuous cycle.</w:t>
      </w:r>
    </w:p>
    <w:p>
      <w:pPr>
        <w:numPr>
          <w:ilvl w:val="0"/>
          <w:numId w:val="1031"/>
        </w:numPr>
      </w:pPr>
      <w:r>
        <w:rPr>
          <w:bCs/>
          <w:b/>
        </w:rPr>
        <w:t xml:space="preserve">Organizational readiness gates technology deployment:</w:t>
      </w:r>
      <w:r>
        <w:t xml:space="preserve"> </w:t>
      </w:r>
      <w:r>
        <w:t xml:space="preserve">No matter how sophisticated the AI capability (Q1), it creates value only if the organization (Q3) can deploy and manage it. The M1 × M3 complementarity (γ = 0.45) is the quantitative expression of this interdependence.</w:t>
      </w:r>
    </w:p>
    <w:p>
      <w:pPr>
        <w:numPr>
          <w:ilvl w:val="0"/>
          <w:numId w:val="1031"/>
        </w:numPr>
      </w:pPr>
      <w:r>
        <w:rPr>
          <w:bCs/>
          <w:b/>
        </w:rPr>
        <w:t xml:space="preserve">Early warning enables proactive transformation:</w:t>
      </w:r>
      <w:r>
        <w:t xml:space="preserve"> </w:t>
      </w:r>
      <w:r>
        <w:t xml:space="preserve">The scenario detection system (Q2) provides the temporal framework for organizational transformation (Q3) — if S1 signals strengthen, the organization must accelerate platform capability roles; if S3 signals strengthen, advisor excellence investment increases.</w:t>
      </w:r>
    </w:p>
    <w:p>
      <w:r>
        <w:pict>
          <v:rect style="width:0;height:1.5pt" o:hralign="center" o:hrstd="t" o:hr="t"/>
        </w:pict>
      </w:r>
    </w:p>
    <w:bookmarkEnd w:id="126"/>
    <w:bookmarkEnd w:id="127"/>
    <w:bookmarkStart w:id="135" w:name="implementation-roadmap"/>
    <w:p>
      <w:pPr>
        <w:pStyle w:val="Heading1"/>
      </w:pPr>
      <w:r>
        <w:t xml:space="preserve">8. Implementation Roadmap</w:t>
      </w:r>
    </w:p>
    <w:bookmarkStart w:id="132" w:name="phased-implementation"/>
    <w:p>
      <w:pPr>
        <w:pStyle w:val="Heading2"/>
      </w:pPr>
      <w:r>
        <w:t xml:space="preserve">8.1 Phased Implementation</w:t>
      </w:r>
    </w:p>
    <w:bookmarkStart w:id="128" w:name="phase-1-foundation-q2q3-2026"/>
    <w:p>
      <w:pPr>
        <w:pStyle w:val="Heading3"/>
      </w:pPr>
      <w:r>
        <w:t xml:space="preserve">Phase 1: Foundation (Q2–Q3 2026)</w:t>
      </w:r>
    </w:p>
    <w:p>
      <w:pPr>
        <w:pStyle w:val="FirstParagraph"/>
      </w:pPr>
      <w:r>
        <w:rPr>
          <w:bCs/>
          <w:b/>
        </w:rPr>
        <w:t xml:space="preserve">Objective:</w:t>
      </w:r>
      <w:r>
        <w:t xml:space="preserve"> </w:t>
      </w:r>
      <w:r>
        <w:t xml:space="preserve">Build monitoring capability, baseline AI literacy, and governance framework</w:t>
      </w:r>
    </w:p>
    <w:tbl>
      <w:tblPr>
        <w:tblStyle w:val="Table"/>
        <w:tblW w:type="pct" w:w="5000"/>
        <w:tblLook w:firstRow="1" w:lastRow="0" w:firstColumn="0" w:lastColumn="0" w:noHBand="0" w:noVBand="0" w:val="0020"/>
        <w:jc w:val="start"/>
      </w:tblPr>
      <w:tblGrid>
        <w:gridCol w:w="913"/>
        <w:gridCol w:w="1066"/>
        <w:gridCol w:w="761"/>
        <w:gridCol w:w="1675"/>
        <w:gridCol w:w="1066"/>
        <w:gridCol w:w="2436"/>
      </w:tblGrid>
      <w:tr>
        <w:trPr>
          <w:tblHeader w:val="true"/>
        </w:trPr>
        <w:tc>
          <w:tcPr/>
          <w:p>
            <w:pPr>
              <w:pStyle w:val="Compact"/>
              <w:jc w:val="left"/>
            </w:pPr>
            <w:r>
              <w:t xml:space="preserve">Move</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Investment</w:t>
            </w:r>
          </w:p>
        </w:tc>
        <w:tc>
          <w:tcPr/>
          <w:p>
            <w:pPr>
              <w:pStyle w:val="Compact"/>
              <w:jc w:val="left"/>
            </w:pPr>
            <w:r>
              <w:t xml:space="preserve">Owner</w:t>
            </w:r>
          </w:p>
        </w:tc>
        <w:tc>
          <w:tcPr/>
          <w:p>
            <w:pPr>
              <w:pStyle w:val="Compact"/>
              <w:jc w:val="left"/>
            </w:pPr>
            <w:r>
              <w:t xml:space="preserve">Success Metric</w:t>
            </w:r>
          </w:p>
        </w:tc>
      </w:tr>
      <w:tr>
        <w:tc>
          <w:tcPr/>
          <w:p>
            <w:pPr>
              <w:pStyle w:val="Compact"/>
              <w:jc w:val="left"/>
            </w:pPr>
            <w:r>
              <w:t xml:space="preserve">NR1: AI Literacy (Phase 1)</w:t>
            </w:r>
          </w:p>
        </w:tc>
        <w:tc>
          <w:tcPr/>
          <w:p>
            <w:pPr>
              <w:pStyle w:val="Compact"/>
              <w:jc w:val="left"/>
            </w:pPr>
            <w:r>
              <w:t xml:space="preserve">Apr 2026</w:t>
            </w:r>
          </w:p>
        </w:tc>
        <w:tc>
          <w:tcPr/>
          <w:p>
            <w:pPr>
              <w:pStyle w:val="Compact"/>
              <w:jc w:val="left"/>
            </w:pPr>
            <w:r>
              <w:t xml:space="preserve">Jun 2026</w:t>
            </w:r>
          </w:p>
        </w:tc>
        <w:tc>
          <w:tcPr/>
          <w:p>
            <w:pPr>
              <w:pStyle w:val="Compact"/>
              <w:jc w:val="left"/>
            </w:pPr>
            <w:r>
              <w:t xml:space="preserve">CHF 300K</w:t>
            </w:r>
          </w:p>
        </w:tc>
        <w:tc>
          <w:tcPr/>
          <w:p>
            <w:pPr>
              <w:pStyle w:val="Compact"/>
              <w:jc w:val="left"/>
            </w:pPr>
            <w:r>
              <w:t xml:space="preserve">Head of Learning &amp; Development</w:t>
            </w:r>
          </w:p>
        </w:tc>
        <w:tc>
          <w:tcPr/>
          <w:p>
            <w:pPr>
              <w:pStyle w:val="Compact"/>
              <w:jc w:val="left"/>
            </w:pPr>
            <w:r>
              <w:t xml:space="preserve">80% completion rate</w:t>
            </w:r>
          </w:p>
        </w:tc>
      </w:tr>
      <w:tr>
        <w:tc>
          <w:tcPr/>
          <w:p>
            <w:pPr>
              <w:pStyle w:val="Compact"/>
              <w:jc w:val="left"/>
            </w:pPr>
            <w:r>
              <w:t xml:space="preserve">NR2: Monitoring Dashboard</w:t>
            </w:r>
          </w:p>
        </w:tc>
        <w:tc>
          <w:tcPr/>
          <w:p>
            <w:pPr>
              <w:pStyle w:val="Compact"/>
              <w:jc w:val="left"/>
            </w:pPr>
            <w:r>
              <w:t xml:space="preserve">Apr 2026</w:t>
            </w:r>
          </w:p>
        </w:tc>
        <w:tc>
          <w:tcPr/>
          <w:p>
            <w:pPr>
              <w:pStyle w:val="Compact"/>
              <w:jc w:val="left"/>
            </w:pPr>
            <w:r>
              <w:t xml:space="preserve">Jun 2026</w:t>
            </w:r>
          </w:p>
        </w:tc>
        <w:tc>
          <w:tcPr/>
          <w:p>
            <w:pPr>
              <w:pStyle w:val="Compact"/>
              <w:jc w:val="left"/>
            </w:pPr>
            <w:r>
              <w:t xml:space="preserve">CHF 800K</w:t>
            </w:r>
          </w:p>
        </w:tc>
        <w:tc>
          <w:tcPr/>
          <w:p>
            <w:pPr>
              <w:pStyle w:val="Compact"/>
              <w:jc w:val="left"/>
            </w:pPr>
            <w:r>
              <w:t xml:space="preserve">Head of Marketing Intelligence</w:t>
            </w:r>
          </w:p>
        </w:tc>
        <w:tc>
          <w:tcPr/>
          <w:p>
            <w:pPr>
              <w:pStyle w:val="Compact"/>
              <w:jc w:val="left"/>
            </w:pPr>
            <w:r>
              <w:t xml:space="preserve">Dashboard operational, 6 triggers active</w:t>
            </w:r>
          </w:p>
        </w:tc>
      </w:tr>
      <w:tr>
        <w:tc>
          <w:tcPr/>
          <w:p>
            <w:pPr>
              <w:pStyle w:val="Compact"/>
              <w:jc w:val="left"/>
            </w:pPr>
            <w:r>
              <w:t xml:space="preserve">NR5: Ethics Framework</w:t>
            </w:r>
          </w:p>
        </w:tc>
        <w:tc>
          <w:tcPr/>
          <w:p>
            <w:pPr>
              <w:pStyle w:val="Compact"/>
              <w:jc w:val="left"/>
            </w:pPr>
            <w:r>
              <w:t xml:space="preserve">Apr 2026</w:t>
            </w:r>
          </w:p>
        </w:tc>
        <w:tc>
          <w:tcPr/>
          <w:p>
            <w:pPr>
              <w:pStyle w:val="Compact"/>
              <w:jc w:val="left"/>
            </w:pPr>
            <w:r>
              <w:t xml:space="preserve">May 2026</w:t>
            </w:r>
          </w:p>
        </w:tc>
        <w:tc>
          <w:tcPr/>
          <w:p>
            <w:pPr>
              <w:pStyle w:val="Compact"/>
              <w:jc w:val="left"/>
            </w:pPr>
            <w:r>
              <w:t xml:space="preserve">CHF 400K</w:t>
            </w:r>
          </w:p>
        </w:tc>
        <w:tc>
          <w:tcPr/>
          <w:p>
            <w:pPr>
              <w:pStyle w:val="Compact"/>
              <w:jc w:val="left"/>
            </w:pPr>
            <w:r>
              <w:t xml:space="preserve">AI Marketing Ethics Officer</w:t>
            </w:r>
          </w:p>
        </w:tc>
        <w:tc>
          <w:tcPr/>
          <w:p>
            <w:pPr>
              <w:pStyle w:val="Compact"/>
              <w:jc w:val="left"/>
            </w:pPr>
            <w:r>
              <w:t xml:space="preserve">Framework approved by compliance</w:t>
            </w:r>
          </w:p>
        </w:tc>
      </w:tr>
    </w:tbl>
    <w:p>
      <w:pPr>
        <w:pStyle w:val="BodyText"/>
      </w:pPr>
      <w:r>
        <w:rPr>
          <w:bCs/>
          <w:b/>
        </w:rPr>
        <w:t xml:space="preserve">Phase 1 Gate:</w:t>
      </w:r>
      <w:r>
        <w:t xml:space="preserve"> </w:t>
      </w:r>
      <w:r>
        <w:t xml:space="preserve">All three moves operational. Monitoring dashboard producing first scenario signal update. AI Literacy Phase 1 completed by 80%+ of marketing staff.</w:t>
      </w:r>
    </w:p>
    <w:bookmarkEnd w:id="128"/>
    <w:bookmarkStart w:id="129" w:name="phase-2-pilot-q3q4-2026"/>
    <w:p>
      <w:pPr>
        <w:pStyle w:val="Heading3"/>
      </w:pPr>
      <w:r>
        <w:t xml:space="preserve">Phase 2: Pilot (Q3–Q4 2026)</w:t>
      </w:r>
    </w:p>
    <w:p>
      <w:pPr>
        <w:pStyle w:val="FirstParagraph"/>
      </w:pPr>
      <w:r>
        <w:rPr>
          <w:bCs/>
          <w:b/>
        </w:rPr>
        <w:t xml:space="preserve">Objective:</w:t>
      </w:r>
      <w:r>
        <w:t xml:space="preserve"> </w:t>
      </w:r>
      <w:r>
        <w:t xml:space="preserve">Test high-value initiatives, stabilize CS-Migrated segment</w:t>
      </w:r>
    </w:p>
    <w:tbl>
      <w:tblPr>
        <w:tblStyle w:val="Table"/>
        <w:tblW w:type="pct" w:w="5000"/>
        <w:tblLook w:firstRow="1" w:lastRow="0" w:firstColumn="0" w:lastColumn="0" w:noHBand="0" w:noVBand="0" w:val="0020"/>
        <w:jc w:val="start"/>
      </w:tblPr>
      <w:tblGrid>
        <w:gridCol w:w="913"/>
        <w:gridCol w:w="1066"/>
        <w:gridCol w:w="761"/>
        <w:gridCol w:w="1675"/>
        <w:gridCol w:w="1066"/>
        <w:gridCol w:w="2436"/>
      </w:tblGrid>
      <w:tr>
        <w:trPr>
          <w:tblHeader w:val="true"/>
        </w:trPr>
        <w:tc>
          <w:tcPr/>
          <w:p>
            <w:pPr>
              <w:pStyle w:val="Compact"/>
              <w:jc w:val="left"/>
            </w:pPr>
            <w:r>
              <w:t xml:space="preserve">Move</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Investment</w:t>
            </w:r>
          </w:p>
        </w:tc>
        <w:tc>
          <w:tcPr/>
          <w:p>
            <w:pPr>
              <w:pStyle w:val="Compact"/>
              <w:jc w:val="left"/>
            </w:pPr>
            <w:r>
              <w:t xml:space="preserve">Owner</w:t>
            </w:r>
          </w:p>
        </w:tc>
        <w:tc>
          <w:tcPr/>
          <w:p>
            <w:pPr>
              <w:pStyle w:val="Compact"/>
              <w:jc w:val="left"/>
            </w:pPr>
            <w:r>
              <w:t xml:space="preserve">Success Metric</w:t>
            </w:r>
          </w:p>
        </w:tc>
      </w:tr>
      <w:tr>
        <w:tc>
          <w:tcPr/>
          <w:p>
            <w:pPr>
              <w:pStyle w:val="Compact"/>
              <w:jc w:val="left"/>
            </w:pPr>
            <w:r>
              <w:t xml:space="preserve">NR1: AI Literacy (Phase 2)</w:t>
            </w:r>
          </w:p>
        </w:tc>
        <w:tc>
          <w:tcPr/>
          <w:p>
            <w:pPr>
              <w:pStyle w:val="Compact"/>
              <w:jc w:val="left"/>
            </w:pPr>
            <w:r>
              <w:t xml:space="preserve">Jul 2026</w:t>
            </w:r>
          </w:p>
        </w:tc>
        <w:tc>
          <w:tcPr/>
          <w:p>
            <w:pPr>
              <w:pStyle w:val="Compact"/>
              <w:jc w:val="left"/>
            </w:pPr>
            <w:r>
              <w:t xml:space="preserve">Sep 2026</w:t>
            </w:r>
          </w:p>
        </w:tc>
        <w:tc>
          <w:tcPr/>
          <w:p>
            <w:pPr>
              <w:pStyle w:val="Compact"/>
              <w:jc w:val="left"/>
            </w:pPr>
            <w:r>
              <w:t xml:space="preserve">CHF 200K</w:t>
            </w:r>
          </w:p>
        </w:tc>
        <w:tc>
          <w:tcPr/>
          <w:p>
            <w:pPr>
              <w:pStyle w:val="Compact"/>
              <w:jc w:val="left"/>
            </w:pPr>
            <w:r>
              <w:t xml:space="preserve">Role-specific training leads</w:t>
            </w:r>
          </w:p>
        </w:tc>
        <w:tc>
          <w:tcPr/>
          <w:p>
            <w:pPr>
              <w:pStyle w:val="Compact"/>
              <w:jc w:val="left"/>
            </w:pPr>
            <w:r>
              <w:t xml:space="preserve">Role-specific tool proficiency tests</w:t>
            </w:r>
          </w:p>
        </w:tc>
      </w:tr>
      <w:tr>
        <w:tc>
          <w:tcPr/>
          <w:p>
            <w:pPr>
              <w:pStyle w:val="Compact"/>
              <w:jc w:val="left"/>
            </w:pPr>
            <w:r>
              <w:t xml:space="preserve">NR3: Discovery Pilot</w:t>
            </w:r>
          </w:p>
        </w:tc>
        <w:tc>
          <w:tcPr/>
          <w:p>
            <w:pPr>
              <w:pStyle w:val="Compact"/>
              <w:jc w:val="left"/>
            </w:pPr>
            <w:r>
              <w:t xml:space="preserve">Jun 2026</w:t>
            </w:r>
          </w:p>
        </w:tc>
        <w:tc>
          <w:tcPr/>
          <w:p>
            <w:pPr>
              <w:pStyle w:val="Compact"/>
              <w:jc w:val="left"/>
            </w:pPr>
            <w:r>
              <w:t xml:space="preserve">Dec 2026</w:t>
            </w:r>
          </w:p>
        </w:tc>
        <w:tc>
          <w:tcPr/>
          <w:p>
            <w:pPr>
              <w:pStyle w:val="Compact"/>
              <w:jc w:val="left"/>
            </w:pPr>
            <w:r>
              <w:t xml:space="preserve">CHF 1.5M</w:t>
            </w:r>
          </w:p>
        </w:tc>
        <w:tc>
          <w:tcPr/>
          <w:p>
            <w:pPr>
              <w:pStyle w:val="Compact"/>
              <w:jc w:val="left"/>
            </w:pPr>
            <w:r>
              <w:t xml:space="preserve">AI Platform Liaison</w:t>
            </w:r>
          </w:p>
        </w:tc>
        <w:tc>
          <w:tcPr/>
          <w:p>
            <w:pPr>
              <w:pStyle w:val="Compact"/>
              <w:jc w:val="left"/>
            </w:pPr>
            <w:r>
              <w:t xml:space="preserve">UBS mention rate &gt;65% in test queries</w:t>
            </w:r>
          </w:p>
        </w:tc>
      </w:tr>
      <w:tr>
        <w:tc>
          <w:tcPr/>
          <w:p>
            <w:pPr>
              <w:pStyle w:val="Compact"/>
              <w:jc w:val="left"/>
            </w:pPr>
            <w:r>
              <w:t xml:space="preserve">NR6: CS Trust Program</w:t>
            </w:r>
          </w:p>
        </w:tc>
        <w:tc>
          <w:tcPr/>
          <w:p>
            <w:pPr>
              <w:pStyle w:val="Compact"/>
              <w:jc w:val="left"/>
            </w:pPr>
            <w:r>
              <w:t xml:space="preserve">Jun 2026</w:t>
            </w:r>
          </w:p>
        </w:tc>
        <w:tc>
          <w:tcPr/>
          <w:p>
            <w:pPr>
              <w:pStyle w:val="Compact"/>
              <w:jc w:val="left"/>
            </w:pPr>
            <w:r>
              <w:t xml:space="preserve">Sep 2026</w:t>
            </w:r>
          </w:p>
        </w:tc>
        <w:tc>
          <w:tcPr/>
          <w:p>
            <w:pPr>
              <w:pStyle w:val="Compact"/>
              <w:jc w:val="left"/>
            </w:pPr>
            <w:r>
              <w:t xml:space="preserve">CHF 5M</w:t>
            </w:r>
          </w:p>
        </w:tc>
        <w:tc>
          <w:tcPr/>
          <w:p>
            <w:pPr>
              <w:pStyle w:val="Compact"/>
              <w:jc w:val="left"/>
            </w:pPr>
            <w:r>
              <w:t xml:space="preserve">Head of Client Experience</w:t>
            </w:r>
          </w:p>
        </w:tc>
        <w:tc>
          <w:tcPr/>
          <w:p>
            <w:pPr>
              <w:pStyle w:val="Compact"/>
              <w:jc w:val="left"/>
            </w:pPr>
            <w:r>
              <w:t xml:space="preserve">CS-Migrated NPS improvement ≥10 points</w:t>
            </w:r>
          </w:p>
        </w:tc>
      </w:tr>
    </w:tbl>
    <w:p>
      <w:pPr>
        <w:pStyle w:val="BodyText"/>
      </w:pPr>
      <w:r>
        <w:rPr>
          <w:bCs/>
          <w:b/>
        </w:rPr>
        <w:t xml:space="preserve">Phase 2 Gate:</w:t>
      </w:r>
      <w:r>
        <w:t xml:space="preserve"> </w:t>
      </w:r>
      <w:r>
        <w:t xml:space="preserve">Discovery pilot produces clear signal (&gt;65% or redesign). CS-Migrated NPS trajectory stabilized. First scenario update from NR2 informs Phase 3 scope.</w:t>
      </w:r>
    </w:p>
    <w:bookmarkEnd w:id="129"/>
    <w:bookmarkStart w:id="130" w:name="phase-3-scale-q1q2-2027"/>
    <w:p>
      <w:pPr>
        <w:pStyle w:val="Heading3"/>
      </w:pPr>
      <w:r>
        <w:t xml:space="preserve">Phase 3: Scale (Q1–Q2 2027)</w:t>
      </w:r>
    </w:p>
    <w:p>
      <w:pPr>
        <w:pStyle w:val="FirstParagraph"/>
      </w:pPr>
      <w:r>
        <w:rPr>
          <w:bCs/>
          <w:b/>
        </w:rPr>
        <w:t xml:space="preserve">Objective:</w:t>
      </w:r>
      <w:r>
        <w:t xml:space="preserve"> </w:t>
      </w:r>
      <w:r>
        <w:t xml:space="preserve">Build must-win capabilities based on Phase 1–2 learnings</w:t>
      </w:r>
    </w:p>
    <w:tbl>
      <w:tblPr>
        <w:tblStyle w:val="Table"/>
        <w:tblW w:type="pct" w:w="5000"/>
        <w:tblLook w:firstRow="1" w:lastRow="0" w:firstColumn="0" w:lastColumn="0" w:noHBand="0" w:noVBand="0" w:val="0020"/>
        <w:jc w:val="start"/>
      </w:tblPr>
      <w:tblGrid>
        <w:gridCol w:w="913"/>
        <w:gridCol w:w="1066"/>
        <w:gridCol w:w="761"/>
        <w:gridCol w:w="1675"/>
        <w:gridCol w:w="1066"/>
        <w:gridCol w:w="2436"/>
      </w:tblGrid>
      <w:tr>
        <w:trPr>
          <w:tblHeader w:val="true"/>
        </w:trPr>
        <w:tc>
          <w:tcPr/>
          <w:p>
            <w:pPr>
              <w:pStyle w:val="Compact"/>
              <w:jc w:val="left"/>
            </w:pPr>
            <w:r>
              <w:t xml:space="preserve">Move</w:t>
            </w:r>
          </w:p>
        </w:tc>
        <w:tc>
          <w:tcPr/>
          <w:p>
            <w:pPr>
              <w:pStyle w:val="Compact"/>
              <w:jc w:val="left"/>
            </w:pPr>
            <w:r>
              <w:t xml:space="preserve">Start</w:t>
            </w:r>
          </w:p>
        </w:tc>
        <w:tc>
          <w:tcPr/>
          <w:p>
            <w:pPr>
              <w:pStyle w:val="Compact"/>
              <w:jc w:val="left"/>
            </w:pPr>
            <w:r>
              <w:t xml:space="preserve">End</w:t>
            </w:r>
          </w:p>
        </w:tc>
        <w:tc>
          <w:tcPr/>
          <w:p>
            <w:pPr>
              <w:pStyle w:val="Compact"/>
              <w:jc w:val="left"/>
            </w:pPr>
            <w:r>
              <w:t xml:space="preserve">Investment</w:t>
            </w:r>
          </w:p>
        </w:tc>
        <w:tc>
          <w:tcPr/>
          <w:p>
            <w:pPr>
              <w:pStyle w:val="Compact"/>
              <w:jc w:val="left"/>
            </w:pPr>
            <w:r>
              <w:t xml:space="preserve">Owner</w:t>
            </w:r>
          </w:p>
        </w:tc>
        <w:tc>
          <w:tcPr/>
          <w:p>
            <w:pPr>
              <w:pStyle w:val="Compact"/>
              <w:jc w:val="left"/>
            </w:pPr>
            <w:r>
              <w:t xml:space="preserve">Success Metric</w:t>
            </w:r>
          </w:p>
        </w:tc>
      </w:tr>
      <w:tr>
        <w:tc>
          <w:tcPr/>
          <w:p>
            <w:pPr>
              <w:pStyle w:val="Compact"/>
              <w:jc w:val="left"/>
            </w:pPr>
            <w:r>
              <w:t xml:space="preserve">NR4: Intelligence Platform</w:t>
            </w:r>
          </w:p>
        </w:tc>
        <w:tc>
          <w:tcPr/>
          <w:p>
            <w:pPr>
              <w:pStyle w:val="Compact"/>
              <w:jc w:val="left"/>
            </w:pPr>
            <w:r>
              <w:t xml:space="preserve">Q1 2027</w:t>
            </w:r>
          </w:p>
        </w:tc>
        <w:tc>
          <w:tcPr/>
          <w:p>
            <w:pPr>
              <w:pStyle w:val="Compact"/>
              <w:jc w:val="left"/>
            </w:pPr>
            <w:r>
              <w:t xml:space="preserve">Q2 2027</w:t>
            </w:r>
          </w:p>
        </w:tc>
        <w:tc>
          <w:tcPr/>
          <w:p>
            <w:pPr>
              <w:pStyle w:val="Compact"/>
              <w:jc w:val="left"/>
            </w:pPr>
            <w:r>
              <w:t xml:space="preserve">CHF 20M</w:t>
            </w:r>
          </w:p>
        </w:tc>
        <w:tc>
          <w:tcPr/>
          <w:p>
            <w:pPr>
              <w:pStyle w:val="Compact"/>
              <w:jc w:val="left"/>
            </w:pPr>
            <w:r>
              <w:t xml:space="preserve">Chief Data Officer + CMO</w:t>
            </w:r>
          </w:p>
        </w:tc>
        <w:tc>
          <w:tcPr/>
          <w:p>
            <w:pPr>
              <w:pStyle w:val="Compact"/>
              <w:jc w:val="left"/>
            </w:pPr>
            <w:r>
              <w:t xml:space="preserve">Behavioral segmentation live for all segments</w:t>
            </w:r>
          </w:p>
        </w:tc>
      </w:tr>
      <w:tr>
        <w:tc>
          <w:tcPr/>
          <w:p>
            <w:pPr>
              <w:pStyle w:val="Compact"/>
              <w:jc w:val="left"/>
            </w:pPr>
            <w:r>
              <w:t xml:space="preserve">Scenario-specific moves</w:t>
            </w:r>
          </w:p>
        </w:tc>
        <w:tc>
          <w:tcPr/>
          <w:p>
            <w:pPr>
              <w:pStyle w:val="Compact"/>
              <w:jc w:val="left"/>
            </w:pPr>
            <w:r>
              <w:t xml:space="preserve">Q1 2027</w:t>
            </w:r>
          </w:p>
        </w:tc>
        <w:tc>
          <w:tcPr/>
          <w:p>
            <w:pPr>
              <w:pStyle w:val="Compact"/>
              <w:jc w:val="left"/>
            </w:pPr>
            <w:r>
              <w:t xml:space="preserve">Ongoing</w:t>
            </w:r>
          </w:p>
        </w:tc>
        <w:tc>
          <w:tcPr/>
          <w:p>
            <w:pPr>
              <w:pStyle w:val="Compact"/>
              <w:jc w:val="left"/>
            </w:pPr>
            <w:r>
              <w:t xml:space="preserve">Variable</w:t>
            </w:r>
          </w:p>
        </w:tc>
        <w:tc>
          <w:tcPr/>
          <w:p>
            <w:pPr>
              <w:pStyle w:val="Compact"/>
              <w:jc w:val="left"/>
            </w:pPr>
            <w:r>
              <w:t xml:space="preserve">Depends on scenario signals</w:t>
            </w:r>
          </w:p>
        </w:tc>
        <w:tc>
          <w:tcPr/>
          <w:p>
            <w:pPr>
              <w:pStyle w:val="Compact"/>
              <w:jc w:val="left"/>
            </w:pPr>
            <w:r>
              <w:t xml:space="preserve">Trigger-linked KPIs</w:t>
            </w:r>
          </w:p>
        </w:tc>
      </w:tr>
    </w:tbl>
    <w:p>
      <w:pPr>
        <w:pStyle w:val="BodyText"/>
      </w:pPr>
      <w:r>
        <w:rPr>
          <w:bCs/>
          <w:b/>
        </w:rPr>
        <w:t xml:space="preserve">Phase 3 Gate:</w:t>
      </w:r>
      <w:r>
        <w:t xml:space="preserve"> </w:t>
      </w:r>
      <w:r>
        <w:t xml:space="preserve">Intelligence platform operational. Behavioral segmentation producing actionable insights. Scenario signals clear enough for scenario-specific investment decisions.</w:t>
      </w:r>
    </w:p>
    <w:bookmarkEnd w:id="130"/>
    <w:bookmarkStart w:id="131" w:name="phase-4-adapt-q3-2027"/>
    <w:p>
      <w:pPr>
        <w:pStyle w:val="Heading3"/>
      </w:pPr>
      <w:r>
        <w:t xml:space="preserve">Phase 4: Adapt (Q3 2027+)</w:t>
      </w:r>
    </w:p>
    <w:p>
      <w:pPr>
        <w:pStyle w:val="FirstParagraph"/>
      </w:pPr>
      <w:r>
        <w:rPr>
          <w:bCs/>
          <w:b/>
        </w:rPr>
        <w:t xml:space="preserve">Objective:</w:t>
      </w:r>
      <w:r>
        <w:t xml:space="preserve"> </w:t>
      </w:r>
      <w:r>
        <w:t xml:space="preserve">Execute scenario-specific strategy based on accumulated evidence</w:t>
      </w:r>
    </w:p>
    <w:p>
      <w:pPr>
        <w:pStyle w:val="BodyText"/>
      </w:pPr>
      <w:r>
        <w:t xml:space="preserve">This phase is intentionally open-ended. By Q3 2027, approximately 18 months of monitoring data will have accumulated, multiple trigger crossings will have been observed, and organizational capability will have been built through Phases 1–3. The strategic direction will be informed by evidence rather than speculation.</w:t>
      </w:r>
    </w:p>
    <w:bookmarkEnd w:id="131"/>
    <w:bookmarkEnd w:id="132"/>
    <w:bookmarkStart w:id="133" w:name="critical-path-dependencies"/>
    <w:p>
      <w:pPr>
        <w:pStyle w:val="Heading2"/>
      </w:pPr>
      <w:r>
        <w:t xml:space="preserve">8.2 Critical Path Dependencies</w:t>
      </w:r>
    </w:p>
    <w:p>
      <w:pPr>
        <w:pStyle w:val="SourceCode"/>
      </w:pPr>
      <w:r>
        <w:rPr>
          <w:rStyle w:val="VerbatimChar"/>
        </w:rPr>
        <w:t xml:space="preserve">NR5 (Ethics) ──────────→ ┐</w:t>
      </w:r>
      <w:r>
        <w:br/>
      </w:r>
      <w:r>
        <w:rPr>
          <w:rStyle w:val="VerbatimChar"/>
        </w:rPr>
        <w:t xml:space="preserve">                          ├→ NR3 (Discovery Pilot) → Scale Decision</w:t>
      </w:r>
      <w:r>
        <w:br/>
      </w:r>
      <w:r>
        <w:rPr>
          <w:rStyle w:val="VerbatimChar"/>
        </w:rPr>
        <w:t xml:space="preserve">NR1 (Literacy Phase 1) ──→ NR1 (Phase 2) → NR4 (Intelligence Platform)</w:t>
      </w:r>
      <w:r>
        <w:br/>
      </w:r>
      <w:r>
        <w:rPr>
          <w:rStyle w:val="VerbatimChar"/>
        </w:rPr>
        <w:t xml:space="preserve">                          │</w:t>
      </w:r>
      <w:r>
        <w:br/>
      </w:r>
      <w:r>
        <w:rPr>
          <w:rStyle w:val="VerbatimChar"/>
        </w:rPr>
        <w:t xml:space="preserve">NR2 (Monitoring) ────────→ Scenario Update → Phase 3 Scope Decision</w:t>
      </w:r>
      <w:r>
        <w:br/>
      </w:r>
      <w:r>
        <w:rPr>
          <w:rStyle w:val="VerbatimChar"/>
        </w:rPr>
        <w:t xml:space="preserve">                          │</w:t>
      </w:r>
      <w:r>
        <w:br/>
      </w:r>
      <w:r>
        <w:rPr>
          <w:rStyle w:val="VerbatimChar"/>
        </w:rPr>
        <w:t xml:space="preserve">NR6 (CS Trust) ──────────→ Retention Stabilization → Informed NR4 Design</w:t>
      </w:r>
    </w:p>
    <w:p>
      <w:pPr>
        <w:pStyle w:val="FirstParagraph"/>
      </w:pPr>
      <w:r>
        <w:t xml:space="preserve">The critical path runs through NR1 → NR1 Phase 2 → NR4. Any delay in AI Literacy training delays the Customer Intelligence Platform, which delays the must-win capability. The Dynamic Complementarity premium (1.45x) means this delay is costly.</w:t>
      </w:r>
    </w:p>
    <w:bookmarkEnd w:id="133"/>
    <w:bookmarkStart w:id="134" w:name="timeline-visualization"/>
    <w:p>
      <w:pPr>
        <w:pStyle w:val="Heading2"/>
      </w:pPr>
      <w:r>
        <w:t xml:space="preserve">8.3 Timeline Visualization</w:t>
      </w:r>
    </w:p>
    <w:p>
      <w:pPr>
        <w:pStyle w:val="SourceCode"/>
      </w:pPr>
      <w:r>
        <w:rPr>
          <w:rStyle w:val="VerbatimChar"/>
        </w:rPr>
        <w:t xml:space="preserve">2026                                                    2027</w:t>
      </w:r>
      <w:r>
        <w:br/>
      </w:r>
      <w:r>
        <w:rPr>
          <w:rStyle w:val="VerbatimChar"/>
        </w:rPr>
        <w:t xml:space="preserve">Q2       Q3       Q4       Q1       Q2       Q3       Q4</w:t>
      </w:r>
      <w:r>
        <w:br/>
      </w:r>
      <w:r>
        <w:rPr>
          <w:rStyle w:val="VerbatimChar"/>
        </w:rPr>
        <w:t xml:space="preserve">│        │        │        │        │        │        │</w:t>
      </w:r>
      <w:r>
        <w:br/>
      </w:r>
      <w:r>
        <w:rPr>
          <w:rStyle w:val="VerbatimChar"/>
        </w:rPr>
        <w:t xml:space="preserve">├─ NR1 Phase 1 ──┤                                     │</w:t>
      </w:r>
      <w:r>
        <w:br/>
      </w:r>
      <w:r>
        <w:rPr>
          <w:rStyle w:val="VerbatimChar"/>
        </w:rPr>
        <w:t xml:space="preserve">│        ├─ NR1 Phase 2 ──┤                             │</w:t>
      </w:r>
      <w:r>
        <w:br/>
      </w:r>
      <w:r>
        <w:rPr>
          <w:rStyle w:val="VerbatimChar"/>
        </w:rPr>
        <w:t xml:space="preserve">├─ NR2 Dashboard ┤        │                             │</w:t>
      </w:r>
      <w:r>
        <w:br/>
      </w:r>
      <w:r>
        <w:rPr>
          <w:rStyle w:val="VerbatimChar"/>
        </w:rPr>
        <w:t xml:space="preserve">├─ NR5 Ethics ───┤        │                             │</w:t>
      </w:r>
      <w:r>
        <w:br/>
      </w:r>
      <w:r>
        <w:rPr>
          <w:rStyle w:val="VerbatimChar"/>
        </w:rPr>
        <w:t xml:space="preserve">│        ├─────── NR3 Discovery Pilot ────┤             │</w:t>
      </w:r>
      <w:r>
        <w:br/>
      </w:r>
      <w:r>
        <w:rPr>
          <w:rStyle w:val="VerbatimChar"/>
        </w:rPr>
        <w:t xml:space="preserve">│        ├─ NR6 CS Trust ─┤               │             │</w:t>
      </w:r>
      <w:r>
        <w:br/>
      </w:r>
      <w:r>
        <w:rPr>
          <w:rStyle w:val="VerbatimChar"/>
        </w:rPr>
        <w:t xml:space="preserve">│        │        │        ├── NR4 Intelligence ────────┤</w:t>
      </w:r>
      <w:r>
        <w:br/>
      </w:r>
      <w:r>
        <w:rPr>
          <w:rStyle w:val="VerbatimChar"/>
        </w:rPr>
        <w:t xml:space="preserve">│        │        │        │              ├── Scenario-Specific ───→</w:t>
      </w:r>
      <w:r>
        <w:br/>
      </w:r>
      <w:r>
        <w:rPr>
          <w:rStyle w:val="VerbatimChar"/>
        </w:rPr>
        <w:t xml:space="preserve">│        │        │        │              │             │</w:t>
      </w:r>
      <w:r>
        <w:br/>
      </w:r>
      <w:r>
        <w:rPr>
          <w:rStyle w:val="VerbatimChar"/>
        </w:rPr>
        <w:t xml:space="preserve">│   PHASE 1       │  PHASE 2   │    PHASE 3    │  PHASE 4 ──→</w:t>
      </w:r>
      <w:r>
        <w:br/>
      </w:r>
      <w:r>
        <w:rPr>
          <w:rStyle w:val="VerbatimChar"/>
        </w:rPr>
        <w:t xml:space="preserve">│   Foundation    │   Pilot    │     Scale     │   Adapt</w:t>
      </w:r>
      <w:r>
        <w:br/>
      </w:r>
      <w:r>
        <w:rPr>
          <w:rStyle w:val="VerbatimChar"/>
        </w:rPr>
        <w:t xml:space="preserve">│   CHF 1.7M     │  CHF 6.5M  │   CHF 20M    │  Variable</w:t>
      </w:r>
    </w:p>
    <w:p>
      <w:r>
        <w:pict>
          <v:rect style="width:0;height:1.5pt" o:hralign="center" o:hrstd="t" o:hr="t"/>
        </w:pict>
      </w:r>
    </w:p>
    <w:bookmarkEnd w:id="134"/>
    <w:bookmarkEnd w:id="135"/>
    <w:bookmarkStart w:id="139" w:name="risk-assessment-and-mitigation"/>
    <w:p>
      <w:pPr>
        <w:pStyle w:val="Heading1"/>
      </w:pPr>
      <w:r>
        <w:t xml:space="preserve">9. Risk Assessment and Mitigation</w:t>
      </w:r>
    </w:p>
    <w:bookmarkStart w:id="136" w:name="strategic-risks"/>
    <w:p>
      <w:pPr>
        <w:pStyle w:val="Heading2"/>
      </w:pPr>
      <w:r>
        <w:t xml:space="preserve">9.1 Strategic Risks</w:t>
      </w:r>
    </w:p>
    <w:tbl>
      <w:tblPr>
        <w:tblStyle w:val="Table"/>
        <w:tblW w:type="pct" w:w="5000"/>
        <w:tblLook w:firstRow="1" w:lastRow="0" w:firstColumn="0" w:lastColumn="0" w:noHBand="0" w:noVBand="0" w:val="0020"/>
        <w:jc w:val="start"/>
      </w:tblPr>
      <w:tblGrid>
        <w:gridCol w:w="896"/>
        <w:gridCol w:w="1793"/>
        <w:gridCol w:w="1195"/>
        <w:gridCol w:w="1793"/>
        <w:gridCol w:w="2241"/>
      </w:tblGrid>
      <w:tr>
        <w:trPr>
          <w:tblHeader w:val="true"/>
        </w:trPr>
        <w:tc>
          <w:tcPr/>
          <w:p>
            <w:pPr>
              <w:pStyle w:val="Compact"/>
              <w:jc w:val="left"/>
            </w:pPr>
            <w:r>
              <w:t xml:space="preserve">Risk</w:t>
            </w:r>
          </w:p>
        </w:tc>
        <w:tc>
          <w:tcPr/>
          <w:p>
            <w:pPr>
              <w:pStyle w:val="Compact"/>
              <w:jc w:val="left"/>
            </w:pPr>
            <w:r>
              <w:t xml:space="preserve">Probability</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Residual Risk</w:t>
            </w:r>
          </w:p>
        </w:tc>
      </w:tr>
      <w:tr>
        <w:tc>
          <w:tcPr/>
          <w:p>
            <w:pPr>
              <w:pStyle w:val="Compact"/>
              <w:jc w:val="left"/>
            </w:pPr>
            <w:r>
              <w:t xml:space="preserve">S1 materializes faster than expected</w:t>
            </w:r>
          </w:p>
        </w:tc>
        <w:tc>
          <w:tcPr/>
          <w:p>
            <w:pPr>
              <w:pStyle w:val="Compact"/>
              <w:jc w:val="left"/>
            </w:pPr>
            <w:r>
              <w:t xml:space="preserve">20% [6%, 40%]</w:t>
            </w:r>
          </w:p>
        </w:tc>
        <w:tc>
          <w:tcPr/>
          <w:p>
            <w:pPr>
              <w:pStyle w:val="Compact"/>
              <w:jc w:val="left"/>
            </w:pPr>
            <w:r>
              <w:t xml:space="preserve">Severe</w:t>
            </w:r>
          </w:p>
        </w:tc>
        <w:tc>
          <w:tcPr/>
          <w:p>
            <w:pPr>
              <w:pStyle w:val="Compact"/>
              <w:jc w:val="left"/>
            </w:pPr>
            <w:r>
              <w:t xml:space="preserve">NR2 monitoring, NR3 pilot, NR4 data moat</w:t>
            </w:r>
          </w:p>
        </w:tc>
        <w:tc>
          <w:tcPr/>
          <w:p>
            <w:pPr>
              <w:pStyle w:val="Compact"/>
              <w:jc w:val="left"/>
            </w:pPr>
            <w:r>
              <w:t xml:space="preserve">Moderate — platform dependencies hard to avoid</w:t>
            </w:r>
          </w:p>
        </w:tc>
      </w:tr>
      <w:tr>
        <w:tc>
          <w:tcPr/>
          <w:p>
            <w:pPr>
              <w:pStyle w:val="Compact"/>
              <w:jc w:val="left"/>
            </w:pPr>
            <w:r>
              <w:t xml:space="preserve">CS-Migrated attrition accelerates</w:t>
            </w:r>
          </w:p>
        </w:tc>
        <w:tc>
          <w:tcPr/>
          <w:p>
            <w:pPr>
              <w:pStyle w:val="Compact"/>
              <w:jc w:val="left"/>
            </w:pPr>
            <w:r>
              <w:t xml:space="preserve">40%</w:t>
            </w:r>
          </w:p>
        </w:tc>
        <w:tc>
          <w:tcPr/>
          <w:p>
            <w:pPr>
              <w:pStyle w:val="Compact"/>
              <w:jc w:val="left"/>
            </w:pPr>
            <w:r>
              <w:t xml:space="preserve">High</w:t>
            </w:r>
          </w:p>
        </w:tc>
        <w:tc>
          <w:tcPr/>
          <w:p>
            <w:pPr>
              <w:pStyle w:val="Compact"/>
              <w:jc w:val="left"/>
            </w:pPr>
            <w:r>
              <w:t xml:space="preserve">NR6 immediate intervention, monthly NPS tracking</w:t>
            </w:r>
          </w:p>
        </w:tc>
        <w:tc>
          <w:tcPr/>
          <w:p>
            <w:pPr>
              <w:pStyle w:val="Compact"/>
              <w:jc w:val="left"/>
            </w:pPr>
            <w:r>
              <w:t xml:space="preserve">Moderate — trust rebuilding takes time</w:t>
            </w:r>
          </w:p>
        </w:tc>
      </w:tr>
      <w:tr>
        <w:tc>
          <w:tcPr/>
          <w:p>
            <w:pPr>
              <w:pStyle w:val="Compact"/>
              <w:jc w:val="left"/>
            </w:pPr>
            <w:r>
              <w:t xml:space="preserve">AI investment fails to create differentiation</w:t>
            </w:r>
          </w:p>
        </w:tc>
        <w:tc>
          <w:tcPr/>
          <w:p>
            <w:pPr>
              <w:pStyle w:val="Compact"/>
              <w:jc w:val="left"/>
            </w:pPr>
            <w:r>
              <w:t xml:space="preserve">25%</w:t>
            </w:r>
          </w:p>
        </w:tc>
        <w:tc>
          <w:tcPr/>
          <w:p>
            <w:pPr>
              <w:pStyle w:val="Compact"/>
              <w:jc w:val="left"/>
            </w:pPr>
            <w:r>
              <w:t xml:space="preserve">Medium</w:t>
            </w:r>
          </w:p>
        </w:tc>
        <w:tc>
          <w:tcPr/>
          <w:p>
            <w:pPr>
              <w:pStyle w:val="Compact"/>
              <w:jc w:val="left"/>
            </w:pPr>
            <w:r>
              <w:t xml:space="preserve">Bandwagon test (MS-TP-001) for all AI deployments</w:t>
            </w:r>
          </w:p>
        </w:tc>
        <w:tc>
          <w:tcPr/>
          <w:p>
            <w:pPr>
              <w:pStyle w:val="Compact"/>
              <w:jc w:val="left"/>
            </w:pPr>
            <w:r>
              <w:t xml:space="preserve">Low — no-regret structure limits downside</w:t>
            </w:r>
          </w:p>
        </w:tc>
      </w:tr>
      <w:tr>
        <w:tc>
          <w:tcPr/>
          <w:p>
            <w:pPr>
              <w:pStyle w:val="Compact"/>
              <w:jc w:val="left"/>
            </w:pPr>
            <w:r>
              <w:t xml:space="preserve">Regulatory restriction on marketing AI</w:t>
            </w:r>
          </w:p>
        </w:tc>
        <w:tc>
          <w:tcPr/>
          <w:p>
            <w:pPr>
              <w:pStyle w:val="Compact"/>
              <w:jc w:val="left"/>
            </w:pPr>
            <w:r>
              <w:t xml:space="preserve">30%</w:t>
            </w:r>
          </w:p>
        </w:tc>
        <w:tc>
          <w:tcPr/>
          <w:p>
            <w:pPr>
              <w:pStyle w:val="Compact"/>
              <w:jc w:val="left"/>
            </w:pPr>
            <w:r>
              <w:t xml:space="preserve">Medium</w:t>
            </w:r>
          </w:p>
        </w:tc>
        <w:tc>
          <w:tcPr/>
          <w:p>
            <w:pPr>
              <w:pStyle w:val="Compact"/>
              <w:jc w:val="left"/>
            </w:pPr>
            <w:r>
              <w:t xml:space="preserve">NR5 proactive governance, FINMA engagement</w:t>
            </w:r>
          </w:p>
        </w:tc>
        <w:tc>
          <w:tcPr/>
          <w:p>
            <w:pPr>
              <w:pStyle w:val="Compact"/>
              <w:jc w:val="left"/>
            </w:pPr>
            <w:r>
              <w:t xml:space="preserve">Low — governance framework provides compliance buffer</w:t>
            </w:r>
          </w:p>
        </w:tc>
      </w:tr>
      <w:tr>
        <w:tc>
          <w:tcPr/>
          <w:p>
            <w:pPr>
              <w:pStyle w:val="Compact"/>
              <w:jc w:val="left"/>
            </w:pPr>
            <w:r>
              <w:t xml:space="preserve">Organizational resistance to transformation</w:t>
            </w:r>
          </w:p>
        </w:tc>
        <w:tc>
          <w:tcPr/>
          <w:p>
            <w:pPr>
              <w:pStyle w:val="Compact"/>
              <w:jc w:val="left"/>
            </w:pPr>
            <w:r>
              <w:t xml:space="preserve">35%</w:t>
            </w:r>
          </w:p>
        </w:tc>
        <w:tc>
          <w:tcPr/>
          <w:p>
            <w:pPr>
              <w:pStyle w:val="Compact"/>
              <w:jc w:val="left"/>
            </w:pPr>
            <w:r>
              <w:t xml:space="preserve">Medium</w:t>
            </w:r>
          </w:p>
        </w:tc>
        <w:tc>
          <w:tcPr/>
          <w:p>
            <w:pPr>
              <w:pStyle w:val="Compact"/>
              <w:jc w:val="left"/>
            </w:pPr>
            <w:r>
              <w:t xml:space="preserve">Change management program, leadership commitment, safe experimentation</w:t>
            </w:r>
          </w:p>
        </w:tc>
        <w:tc>
          <w:tcPr/>
          <w:p>
            <w:pPr>
              <w:pStyle w:val="Compact"/>
              <w:jc w:val="left"/>
            </w:pPr>
            <w:r>
              <w:t xml:space="preserve">Moderate — cultural change is inherently slow</w:t>
            </w:r>
          </w:p>
        </w:tc>
      </w:tr>
      <w:tr>
        <w:tc>
          <w:tcPr/>
          <w:p>
            <w:pPr>
              <w:pStyle w:val="Compact"/>
              <w:jc w:val="left"/>
            </w:pPr>
            <w:r>
              <w:t xml:space="preserve">Data infrastructure delays</w:t>
            </w:r>
          </w:p>
        </w:tc>
        <w:tc>
          <w:tcPr/>
          <w:p>
            <w:pPr>
              <w:pStyle w:val="Compact"/>
              <w:jc w:val="left"/>
            </w:pPr>
            <w:r>
              <w:t xml:space="preserve">40%</w:t>
            </w:r>
          </w:p>
        </w:tc>
        <w:tc>
          <w:tcPr/>
          <w:p>
            <w:pPr>
              <w:pStyle w:val="Compact"/>
              <w:jc w:val="left"/>
            </w:pPr>
            <w:r>
              <w:t xml:space="preserve">High</w:t>
            </w:r>
          </w:p>
        </w:tc>
        <w:tc>
          <w:tcPr/>
          <w:p>
            <w:pPr>
              <w:pStyle w:val="Compact"/>
              <w:jc w:val="left"/>
            </w:pPr>
            <w:r>
              <w:t xml:space="preserve">Parallel workstreams, interim solutions, phased data integration</w:t>
            </w:r>
          </w:p>
        </w:tc>
        <w:tc>
          <w:tcPr/>
          <w:p>
            <w:pPr>
              <w:pStyle w:val="Compact"/>
              <w:jc w:val="left"/>
            </w:pPr>
            <w:r>
              <w:t xml:space="preserve">Moderate — CS integration complexity</w:t>
            </w:r>
          </w:p>
        </w:tc>
      </w:tr>
    </w:tbl>
    <w:bookmarkEnd w:id="136"/>
    <w:bookmarkStart w:id="137" w:name="execution-risks"/>
    <w:p>
      <w:pPr>
        <w:pStyle w:val="Heading2"/>
      </w:pPr>
      <w:r>
        <w:t xml:space="preserve">9.2 Execution Risks</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Risk</w:t>
            </w:r>
          </w:p>
        </w:tc>
        <w:tc>
          <w:tcPr/>
          <w:p>
            <w:pPr>
              <w:pStyle w:val="Compact"/>
              <w:jc w:val="left"/>
            </w:pPr>
            <w:r>
              <w:t xml:space="preserve">Mitigation</w:t>
            </w:r>
          </w:p>
        </w:tc>
      </w:tr>
      <w:tr>
        <w:tc>
          <w:tcPr/>
          <w:p>
            <w:pPr>
              <w:pStyle w:val="Compact"/>
              <w:jc w:val="left"/>
            </w:pPr>
            <w:r>
              <w:t xml:space="preserve">Budget overrun on NR4 (Intelligence Platform)</w:t>
            </w:r>
          </w:p>
        </w:tc>
        <w:tc>
          <w:tcPr/>
          <w:p>
            <w:pPr>
              <w:pStyle w:val="Compact"/>
              <w:jc w:val="left"/>
            </w:pPr>
            <w:r>
              <w:t xml:space="preserve">Phased delivery with go/no-go gates at each phase</w:t>
            </w:r>
          </w:p>
        </w:tc>
      </w:tr>
      <w:tr>
        <w:tc>
          <w:tcPr/>
          <w:p>
            <w:pPr>
              <w:pStyle w:val="Compact"/>
              <w:jc w:val="left"/>
            </w:pPr>
            <w:r>
              <w:t xml:space="preserve">Talent shortage for AI marketing roles</w:t>
            </w:r>
          </w:p>
        </w:tc>
        <w:tc>
          <w:tcPr/>
          <w:p>
            <w:pPr>
              <w:pStyle w:val="Compact"/>
              <w:jc w:val="left"/>
            </w:pPr>
            <w:r>
              <w:t xml:space="preserve">Begin recruitment now; consider acqui-hire of AI marketing startups</w:t>
            </w:r>
          </w:p>
        </w:tc>
      </w:tr>
      <w:tr>
        <w:tc>
          <w:tcPr/>
          <w:p>
            <w:pPr>
              <w:pStyle w:val="Compact"/>
              <w:jc w:val="left"/>
            </w:pPr>
            <w:r>
              <w:t xml:space="preserve">Vendor lock-in with AI tool providers</w:t>
            </w:r>
          </w:p>
        </w:tc>
        <w:tc>
          <w:tcPr/>
          <w:p>
            <w:pPr>
              <w:pStyle w:val="Compact"/>
              <w:jc w:val="left"/>
            </w:pPr>
            <w:r>
              <w:t xml:space="preserve">Multi-vendor strategy; insist on data portability</w:t>
            </w:r>
          </w:p>
        </w:tc>
      </w:tr>
      <w:tr>
        <w:tc>
          <w:tcPr/>
          <w:p>
            <w:pPr>
              <w:pStyle w:val="Compact"/>
              <w:jc w:val="left"/>
            </w:pPr>
            <w:r>
              <w:t xml:space="preserve">AI output quality incidents</w:t>
            </w:r>
          </w:p>
        </w:tc>
        <w:tc>
          <w:tcPr/>
          <w:p>
            <w:pPr>
              <w:pStyle w:val="Compact"/>
              <w:jc w:val="left"/>
            </w:pPr>
            <w:r>
              <w:t xml:space="preserve">NR5 governance framework; human-in-the-loop for all client-facing AI</w:t>
            </w:r>
          </w:p>
        </w:tc>
      </w:tr>
      <w:tr>
        <w:tc>
          <w:tcPr/>
          <w:p>
            <w:pPr>
              <w:pStyle w:val="Compact"/>
              <w:jc w:val="left"/>
            </w:pPr>
            <w:r>
              <w:t xml:space="preserve">Competitor leapfrog in AI capability</w:t>
            </w:r>
          </w:p>
        </w:tc>
        <w:tc>
          <w:tcPr/>
          <w:p>
            <w:pPr>
              <w:pStyle w:val="Compact"/>
              <w:jc w:val="left"/>
            </w:pPr>
            <w:r>
              <w:t xml:space="preserve">NR2 monitoring includes competitive intelligence; NR3 pilot provides early learning</w:t>
            </w:r>
          </w:p>
        </w:tc>
      </w:tr>
    </w:tbl>
    <w:bookmarkEnd w:id="137"/>
    <w:bookmarkStart w:id="138" w:name="sensitivity-to-key-assumptions"/>
    <w:p>
      <w:pPr>
        <w:pStyle w:val="Heading2"/>
      </w:pPr>
      <w:r>
        <w:t xml:space="preserve">9.3 Sensitivity to Key Assumptions</w:t>
      </w:r>
    </w:p>
    <w:p>
      <w:pPr>
        <w:pStyle w:val="FirstParagraph"/>
      </w:pPr>
      <w:r>
        <w:t xml:space="preserve">The model’s sensitivity analysis identifies three critical assumptions:</w:t>
      </w:r>
    </w:p>
    <w:p>
      <w:pPr>
        <w:numPr>
          <w:ilvl w:val="0"/>
          <w:numId w:val="1032"/>
        </w:numPr>
      </w:pPr>
      <w:r>
        <w:rPr>
          <w:bCs/>
          <w:b/>
        </w:rPr>
        <w:t xml:space="preserve">P(S1 BigTech): r = −0.526</w:t>
      </w:r>
      <w:r>
        <w:t xml:space="preserve"> </w:t>
      </w:r>
      <w:r>
        <w:t xml:space="preserve">— This is the dominant risk factor. The recommendation to prioritize NR2 (Monitoring) and NR3 (Discovery Pilot) specifically hedges against S1 tail risk.</w:t>
      </w:r>
    </w:p>
    <w:p>
      <w:pPr>
        <w:numPr>
          <w:ilvl w:val="0"/>
          <w:numId w:val="1032"/>
        </w:numPr>
      </w:pPr>
      <w:r>
        <w:rPr>
          <w:bCs/>
          <w:b/>
        </w:rPr>
        <w:t xml:space="preserve">CS-Migrated Trust (τ = 0.55):</w:t>
      </w:r>
      <w:r>
        <w:t xml:space="preserve"> </w:t>
      </w:r>
      <w:r>
        <w:t xml:space="preserve">If trust is even lower than estimated, the 807,000 client retention risk increases proportionally. NR6 urgency is underscored by this sensitivity.</w:t>
      </w:r>
    </w:p>
    <w:p>
      <w:pPr>
        <w:numPr>
          <w:ilvl w:val="0"/>
          <w:numId w:val="1032"/>
        </w:numPr>
      </w:pPr>
      <w:r>
        <w:rPr>
          <w:bCs/>
          <w:b/>
        </w:rPr>
        <w:t xml:space="preserve">Dynamic Complementarity Premium (1.45x):</w:t>
      </w:r>
      <w:r>
        <w:t xml:space="preserve"> </w:t>
      </w:r>
      <w:r>
        <w:t xml:space="preserve">If the early training premium is lower than estimated, the urgency of NR1 is slightly reduced — but not eliminated, because even at the lower bound of the CI [1.26x], early training is still significantly more valuable than late training.</w:t>
      </w:r>
    </w:p>
    <w:p>
      <w:r>
        <w:pict>
          <v:rect style="width:0;height:1.5pt" o:hralign="center" o:hrstd="t" o:hr="t"/>
        </w:pict>
      </w:r>
    </w:p>
    <w:bookmarkEnd w:id="138"/>
    <w:bookmarkEnd w:id="139"/>
    <w:bookmarkStart w:id="146" w:name="appendices"/>
    <w:p>
      <w:pPr>
        <w:pStyle w:val="Heading1"/>
      </w:pPr>
      <w:r>
        <w:t xml:space="preserve">10. Appendices</w:t>
      </w:r>
    </w:p>
    <w:bookmarkStart w:id="140" w:name="X3d4f3783aefbbb7373067656fa7c539bee7e131"/>
    <w:p>
      <w:pPr>
        <w:pStyle w:val="Heading2"/>
      </w:pPr>
      <w:r>
        <w:t xml:space="preserve">Appendix A: Monte Carlo Simulation Methodology</w:t>
      </w:r>
    </w:p>
    <w:p>
      <w:pPr>
        <w:pStyle w:val="FirstParagraph"/>
      </w:pPr>
      <w:r>
        <w:rPr>
          <w:bCs/>
          <w:b/>
        </w:rPr>
        <w:t xml:space="preserve">Simulation Parameters:</w:t>
      </w:r>
      <w:r>
        <w:t xml:space="preserve"> </w:t>
      </w:r>
      <w:r>
        <w:t xml:space="preserve">- Draws: 10,000</w:t>
      </w:r>
      <w:r>
        <w:t xml:space="preserve"> </w:t>
      </w:r>
      <w:r>
        <w:t xml:space="preserve">- Seed: 2026 (reproducible)</w:t>
      </w:r>
      <w:r>
        <w:t xml:space="preserve"> </w:t>
      </w:r>
      <w:r>
        <w:t xml:space="preserve">- Script:</w:t>
      </w:r>
      <w:r>
        <w:t xml:space="preserve"> </w:t>
      </w:r>
      <w:r>
        <w:rPr>
          <w:rStyle w:val="VerbatimChar"/>
        </w:rPr>
        <w:t xml:space="preserve">scripts/monte_carlo_ubs_aimark.py</w:t>
      </w:r>
    </w:p>
    <w:p>
      <w:pPr>
        <w:pStyle w:val="BodyText"/>
      </w:pPr>
      <w:r>
        <w:rPr>
          <w:bCs/>
          <w:b/>
        </w:rPr>
        <w:t xml:space="preserve">Distribution Choices:</w:t>
      </w:r>
      <w:r>
        <w:t xml:space="preserve"> </w:t>
      </w:r>
      <w:r>
        <w:t xml:space="preserve">- Scenario probabilities: Dirichlet (α = [4, 10, 6])</w:t>
      </w:r>
      <w:r>
        <w:t xml:space="preserve"> </w:t>
      </w:r>
      <w:r>
        <w:t xml:space="preserve">- Behavioral parameters (τ, λ, β): Beta distribution (parameterized from literature)</w:t>
      </w:r>
      <w:r>
        <w:t xml:space="preserve"> </w:t>
      </w:r>
      <w:r>
        <w:t xml:space="preserve">- Value scores: LogNormal (to enforce non-negativity)</w:t>
      </w:r>
      <w:r>
        <w:t xml:space="preserve"> </w:t>
      </w:r>
      <w:r>
        <w:t xml:space="preserve">- Early warning triggers: Brownian motion with drift</w:t>
      </w:r>
    </w:p>
    <w:p>
      <w:pPr>
        <w:pStyle w:val="BodyText"/>
      </w:pPr>
      <w:r>
        <w:rPr>
          <w:bCs/>
          <w:b/>
        </w:rPr>
        <w:t xml:space="preserve">Validation:</w:t>
      </w:r>
      <w:r>
        <w:t xml:space="preserve"> </w:t>
      </w:r>
      <w:r>
        <w:t xml:space="preserve">- All 8 model propositions confirmed at ≥95% confidence</w:t>
      </w:r>
      <w:r>
        <w:t xml:space="preserve"> </w:t>
      </w:r>
      <w:r>
        <w:t xml:space="preserve">- Sensitivity analysis via Pearson correlation of each parameter with total portfolio value</w:t>
      </w:r>
      <w:r>
        <w:t xml:space="preserve"> </w:t>
      </w:r>
      <w:r>
        <w:t xml:space="preserve">- Cross-module complementarities verified through paired value comparisons</w:t>
      </w:r>
    </w:p>
    <w:bookmarkEnd w:id="140"/>
    <w:bookmarkStart w:id="141" w:name="appendix-b-formal-axiom-system-summary"/>
    <w:p>
      <w:pPr>
        <w:pStyle w:val="Heading2"/>
      </w:pPr>
      <w:r>
        <w:t xml:space="preserve">Appendix B: Formal Axiom System Summary</w:t>
      </w:r>
    </w:p>
    <w:p>
      <w:pPr>
        <w:pStyle w:val="FirstParagraph"/>
      </w:pPr>
      <w:r>
        <w:t xml:space="preserve">The full axiom system (20 axioms, 12 definitions, 8 propositions) is documented in:</w:t>
      </w:r>
      <w:r>
        <w:t xml:space="preserve"> </w:t>
      </w:r>
      <w:r>
        <w:rPr>
          <w:rStyle w:val="VerbatimChar"/>
        </w:rPr>
        <w:t xml:space="preserve">F2_ubs_aimark_formal_axioms_v1.0.tex</w:t>
      </w:r>
    </w:p>
    <w:p>
      <w:pPr>
        <w:pStyle w:val="BodyText"/>
      </w:pPr>
      <w:r>
        <w:rPr>
          <w:bCs/>
          <w:b/>
        </w:rPr>
        <w:t xml:space="preserve">Key Axioms:</w:t>
      </w:r>
    </w:p>
    <w:tbl>
      <w:tblPr>
        <w:tblStyle w:val="Table"/>
        <w:tblW w:type="pct" w:w="5000"/>
        <w:tblLook w:firstRow="1" w:lastRow="0" w:firstColumn="0" w:lastColumn="0" w:noHBand="0" w:noVBand="0" w:val="0020"/>
        <w:jc w:val="start"/>
      </w:tblPr>
      <w:tblGrid>
        <w:gridCol w:w="1421"/>
        <w:gridCol w:w="2233"/>
        <w:gridCol w:w="4264"/>
      </w:tblGrid>
      <w:tr>
        <w:trPr>
          <w:tblHeader w:val="true"/>
        </w:trPr>
        <w:tc>
          <w:tcPr/>
          <w:p>
            <w:pPr>
              <w:pStyle w:val="Compact"/>
              <w:jc w:val="left"/>
            </w:pPr>
            <w:r>
              <w:t xml:space="preserve">Axiom</w:t>
            </w:r>
          </w:p>
        </w:tc>
        <w:tc>
          <w:tcPr/>
          <w:p>
            <w:pPr>
              <w:pStyle w:val="Compact"/>
              <w:jc w:val="left"/>
            </w:pPr>
            <w:r>
              <w:t xml:space="preserve">Statement</w:t>
            </w:r>
          </w:p>
        </w:tc>
        <w:tc>
          <w:tcPr/>
          <w:p>
            <w:pPr>
              <w:pStyle w:val="Compact"/>
              <w:jc w:val="left"/>
            </w:pPr>
            <w:r>
              <w:t xml:space="preserve">EXC-5 Justification</w:t>
            </w:r>
          </w:p>
        </w:tc>
      </w:tr>
      <w:tr>
        <w:tc>
          <w:tcPr/>
          <w:p>
            <w:pPr>
              <w:pStyle w:val="Compact"/>
              <w:jc w:val="left"/>
            </w:pPr>
            <w:r>
              <w:t xml:space="preserve">AIM-1</w:t>
            </w:r>
          </w:p>
        </w:tc>
        <w:tc>
          <w:tcPr/>
          <w:p>
            <w:pPr>
              <w:pStyle w:val="Compact"/>
              <w:jc w:val="left"/>
            </w:pPr>
            <w:r>
              <w:t xml:space="preserve">V_f = w_f × α_f × φ_f × (1 + δ_f)</w:t>
            </w:r>
          </w:p>
        </w:tc>
        <w:tc>
          <w:tcPr/>
          <w:p>
            <w:pPr>
              <w:pStyle w:val="Compact"/>
              <w:jc w:val="left"/>
            </w:pPr>
            <w:r>
              <w:t xml:space="preserve">V1: feasibility = 0 → value = 0</w:t>
            </w:r>
          </w:p>
        </w:tc>
      </w:tr>
      <w:tr>
        <w:tc>
          <w:tcPr/>
          <w:p>
            <w:pPr>
              <w:pStyle w:val="Compact"/>
              <w:jc w:val="left"/>
            </w:pPr>
            <w:r>
              <w:t xml:space="preserve">AIM-8</w:t>
            </w:r>
          </w:p>
        </w:tc>
        <w:tc>
          <w:tcPr/>
          <w:p>
            <w:pPr>
              <w:pStyle w:val="Compact"/>
              <w:jc w:val="left"/>
            </w:pPr>
            <w:r>
              <w:t xml:space="preserve">R_g = τ_g × σ_g</w:t>
            </w:r>
          </w:p>
        </w:tc>
        <w:tc>
          <w:tcPr/>
          <w:p>
            <w:pPr>
              <w:pStyle w:val="Compact"/>
              <w:jc w:val="left"/>
            </w:pPr>
            <w:r>
              <w:t xml:space="preserve">V1: trust = 0 → retention = 0</w:t>
            </w:r>
          </w:p>
        </w:tc>
      </w:tr>
      <w:tr>
        <w:tc>
          <w:tcPr/>
          <w:p>
            <w:pPr>
              <w:pStyle w:val="Compact"/>
              <w:jc w:val="left"/>
            </w:pPr>
            <w:r>
              <w:t xml:space="preserve">AIM-12</w:t>
            </w:r>
          </w:p>
        </w:tc>
        <w:tc>
          <w:tcPr/>
          <w:p>
            <w:pPr>
              <w:pStyle w:val="Compact"/>
              <w:jc w:val="left"/>
            </w:pPr>
            <w:r>
              <w:t xml:space="preserve">∂²K/∂I∂K &gt; 0</w:t>
            </w:r>
          </w:p>
        </w:tc>
        <w:tc>
          <w:tcPr/>
          <w:p>
            <w:pPr>
              <w:pStyle w:val="Compact"/>
              <w:jc w:val="left"/>
            </w:pPr>
            <w:r>
              <w:t xml:space="preserve">T1: Cunha/Heckman axiom</w:t>
            </w:r>
          </w:p>
        </w:tc>
      </w:tr>
      <w:tr>
        <w:tc>
          <w:tcPr/>
          <w:p>
            <w:pPr>
              <w:pStyle w:val="Compact"/>
              <w:jc w:val="left"/>
            </w:pPr>
            <w:r>
              <w:t xml:space="preserve">AIM-16</w:t>
            </w:r>
          </w:p>
        </w:tc>
        <w:tc>
          <w:tcPr/>
          <w:p>
            <w:pPr>
              <w:pStyle w:val="Compact"/>
              <w:jc w:val="left"/>
            </w:pPr>
            <w:r>
              <w:t xml:space="preserve">NR = ρ·V_min + (1−ρ)·O + r·L</w:t>
            </w:r>
          </w:p>
        </w:tc>
        <w:tc>
          <w:tcPr/>
          <w:p>
            <w:pPr>
              <w:pStyle w:val="Compact"/>
              <w:jc w:val="left"/>
            </w:pPr>
            <w:r>
              <w:t xml:space="preserve">Additive (EXC-1 default)</w:t>
            </w:r>
          </w:p>
        </w:tc>
      </w:tr>
    </w:tbl>
    <w:p>
      <w:pPr>
        <w:pStyle w:val="BodyText"/>
      </w:pPr>
      <w:r>
        <w:rPr>
          <w:bCs/>
          <w:b/>
        </w:rPr>
        <w:t xml:space="preserve">Validated Propositions: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Proposition</w:t>
            </w:r>
          </w:p>
        </w:tc>
        <w:tc>
          <w:tcPr/>
          <w:p>
            <w:pPr>
              <w:pStyle w:val="Compact"/>
              <w:jc w:val="left"/>
            </w:pPr>
            <w:r>
              <w:t xml:space="preserve">Statement</w:t>
            </w:r>
          </w:p>
        </w:tc>
        <w:tc>
          <w:tcPr/>
          <w:p>
            <w:pPr>
              <w:pStyle w:val="Compact"/>
              <w:jc w:val="left"/>
            </w:pPr>
            <w:r>
              <w:t xml:space="preserve">MC Confirmation</w:t>
            </w:r>
          </w:p>
        </w:tc>
      </w:tr>
      <w:tr>
        <w:tc>
          <w:tcPr/>
          <w:p>
            <w:pPr>
              <w:pStyle w:val="Compact"/>
              <w:jc w:val="left"/>
            </w:pPr>
            <w:r>
              <w:t xml:space="preserve">P1</w:t>
            </w:r>
          </w:p>
        </w:tc>
        <w:tc>
          <w:tcPr/>
          <w:p>
            <w:pPr>
              <w:pStyle w:val="Compact"/>
              <w:jc w:val="left"/>
            </w:pPr>
            <w:r>
              <w:t xml:space="preserve">F3 is must-win capability</w:t>
            </w:r>
          </w:p>
        </w:tc>
        <w:tc>
          <w:tcPr/>
          <w:p>
            <w:pPr>
              <w:pStyle w:val="Compact"/>
              <w:jc w:val="left"/>
            </w:pPr>
            <w:r>
              <w:t xml:space="preserve">99.8% top-3 ranking</w:t>
            </w:r>
          </w:p>
        </w:tc>
      </w:tr>
      <w:tr>
        <w:tc>
          <w:tcPr/>
          <w:p>
            <w:pPr>
              <w:pStyle w:val="Compact"/>
              <w:jc w:val="left"/>
            </w:pPr>
            <w:r>
              <w:t xml:space="preserve">P2</w:t>
            </w:r>
          </w:p>
        </w:tc>
        <w:tc>
          <w:tcPr/>
          <w:p>
            <w:pPr>
              <w:pStyle w:val="Compact"/>
              <w:jc w:val="left"/>
            </w:pPr>
            <w:r>
              <w:t xml:space="preserve">SEG-CS-MIGRATED highest flight risk</w:t>
            </w:r>
          </w:p>
        </w:tc>
        <w:tc>
          <w:tcPr/>
          <w:p>
            <w:pPr>
              <w:pStyle w:val="Compact"/>
              <w:jc w:val="left"/>
            </w:pPr>
            <w:r>
              <w:t xml:space="preserve">R = 0.19 [0.08, 0.33]</w:t>
            </w:r>
          </w:p>
        </w:tc>
      </w:tr>
      <w:tr>
        <w:tc>
          <w:tcPr/>
          <w:p>
            <w:pPr>
              <w:pStyle w:val="Compact"/>
              <w:jc w:val="left"/>
            </w:pPr>
            <w:r>
              <w:t xml:space="preserve">P3</w:t>
            </w:r>
          </w:p>
        </w:tc>
        <w:tc>
          <w:tcPr/>
          <w:p>
            <w:pPr>
              <w:pStyle w:val="Compact"/>
              <w:jc w:val="left"/>
            </w:pPr>
            <w:r>
              <w:t xml:space="preserve">Early training dominates late training</w:t>
            </w:r>
          </w:p>
        </w:tc>
        <w:tc>
          <w:tcPr/>
          <w:p>
            <w:pPr>
              <w:pStyle w:val="Compact"/>
              <w:jc w:val="left"/>
            </w:pPr>
            <w:r>
              <w:t xml:space="preserve">100% of draws</w:t>
            </w:r>
          </w:p>
        </w:tc>
      </w:tr>
      <w:tr>
        <w:tc>
          <w:tcPr/>
          <w:p>
            <w:pPr>
              <w:pStyle w:val="Compact"/>
              <w:jc w:val="left"/>
            </w:pPr>
            <w:r>
              <w:t xml:space="preserve">P4</w:t>
            </w:r>
          </w:p>
        </w:tc>
        <w:tc>
          <w:tcPr/>
          <w:p>
            <w:pPr>
              <w:pStyle w:val="Compact"/>
              <w:jc w:val="left"/>
            </w:pPr>
            <w:r>
              <w:t xml:space="preserve">NR1+NR2 are priority moves</w:t>
            </w:r>
          </w:p>
        </w:tc>
        <w:tc>
          <w:tcPr/>
          <w:p>
            <w:pPr>
              <w:pStyle w:val="Compact"/>
              <w:jc w:val="left"/>
            </w:pPr>
            <w:r>
              <w:t xml:space="preserve">99.6% rank in top 2</w:t>
            </w:r>
          </w:p>
        </w:tc>
      </w:tr>
      <w:tr>
        <w:tc>
          <w:tcPr/>
          <w:p>
            <w:pPr>
              <w:pStyle w:val="Compact"/>
              <w:jc w:val="left"/>
            </w:pPr>
            <w:r>
              <w:t xml:space="preserve">P5</w:t>
            </w:r>
          </w:p>
        </w:tc>
        <w:tc>
          <w:tcPr/>
          <w:p>
            <w:pPr>
              <w:pStyle w:val="Compact"/>
              <w:jc w:val="left"/>
            </w:pPr>
            <w:r>
              <w:t xml:space="preserve">M1×M3 is strongest complementarity</w:t>
            </w:r>
          </w:p>
        </w:tc>
        <w:tc>
          <w:tcPr/>
          <w:p>
            <w:pPr>
              <w:pStyle w:val="Compact"/>
              <w:jc w:val="left"/>
            </w:pPr>
            <w:r>
              <w:t xml:space="preserve">γ = 0.45 [0.26, 0.64]</w:t>
            </w:r>
          </w:p>
        </w:tc>
      </w:tr>
      <w:tr>
        <w:tc>
          <w:tcPr/>
          <w:p>
            <w:pPr>
              <w:pStyle w:val="Compact"/>
              <w:jc w:val="left"/>
            </w:pPr>
            <w:r>
              <w:t xml:space="preserve">P6</w:t>
            </w:r>
          </w:p>
        </w:tc>
        <w:tc>
          <w:tcPr/>
          <w:p>
            <w:pPr>
              <w:pStyle w:val="Compact"/>
              <w:jc w:val="left"/>
            </w:pPr>
            <w:r>
              <w:t xml:space="preserve">P(S1) is dominant risk driver</w:t>
            </w:r>
          </w:p>
        </w:tc>
        <w:tc>
          <w:tcPr/>
          <w:p>
            <w:pPr>
              <w:pStyle w:val="Compact"/>
              <w:jc w:val="left"/>
            </w:pPr>
            <w:r>
              <w:t xml:space="preserve">r = −0.526</w:t>
            </w:r>
          </w:p>
        </w:tc>
      </w:tr>
      <w:tr>
        <w:tc>
          <w:tcPr/>
          <w:p>
            <w:pPr>
              <w:pStyle w:val="Compact"/>
              <w:jc w:val="left"/>
            </w:pPr>
            <w:r>
              <w:t xml:space="preserve">P7</w:t>
            </w:r>
          </w:p>
        </w:tc>
        <w:tc>
          <w:tcPr/>
          <w:p>
            <w:pPr>
              <w:pStyle w:val="Compact"/>
              <w:jc w:val="left"/>
            </w:pPr>
            <w:r>
              <w:t xml:space="preserve">S2 detectable within 24 months</w:t>
            </w:r>
          </w:p>
        </w:tc>
        <w:tc>
          <w:tcPr/>
          <w:p>
            <w:pPr>
              <w:pStyle w:val="Compact"/>
              <w:jc w:val="left"/>
            </w:pPr>
            <w:r>
              <w:t xml:space="preserve">P &gt; 90% for T1, T3</w:t>
            </w:r>
          </w:p>
        </w:tc>
      </w:tr>
      <w:tr>
        <w:tc>
          <w:tcPr/>
          <w:p>
            <w:pPr>
              <w:pStyle w:val="Compact"/>
              <w:jc w:val="left"/>
            </w:pPr>
            <w:r>
              <w:t xml:space="preserve">P8</w:t>
            </w:r>
          </w:p>
        </w:tc>
        <w:tc>
          <w:tcPr/>
          <w:p>
            <w:pPr>
              <w:pStyle w:val="Compact"/>
              <w:jc w:val="left"/>
            </w:pPr>
            <w:r>
              <w:t xml:space="preserve">Complementarity premium ~28%</w:t>
            </w:r>
          </w:p>
        </w:tc>
        <w:tc>
          <w:tcPr/>
          <w:p>
            <w:pPr>
              <w:pStyle w:val="Compact"/>
              <w:jc w:val="left"/>
            </w:pPr>
            <w:r>
              <w:t xml:space="preserve">Confirmed across draws</w:t>
            </w:r>
          </w:p>
        </w:tc>
      </w:tr>
    </w:tbl>
    <w:bookmarkEnd w:id="141"/>
    <w:bookmarkStart w:id="142" w:name="X8bf4d64389a5fabdc24063b761c0dedc1d57e17"/>
    <w:p>
      <w:pPr>
        <w:pStyle w:val="Heading2"/>
      </w:pPr>
      <w:r>
        <w:t xml:space="preserve">Appendix C: Early Warning Dashboard Specification</w:t>
      </w:r>
    </w:p>
    <w:p>
      <w:pPr>
        <w:pStyle w:val="FirstParagraph"/>
      </w:pPr>
      <w:r>
        <w:rPr>
          <w:bCs/>
          <w:b/>
        </w:rPr>
        <w:t xml:space="preserve">Data Sources:</w:t>
      </w:r>
      <w:r>
        <w:t xml:space="preserve"> </w:t>
      </w:r>
      <w:r>
        <w:t xml:space="preserve">| Trigger | Source | API/Feed | Update Frequency |</w:t>
      </w:r>
      <w:r>
        <w:t xml:space="preserve"> </w:t>
      </w:r>
      <w:r>
        <w:t xml:space="preserve">|———|——–|———-|——————|</w:t>
      </w:r>
      <w:r>
        <w:t xml:space="preserve"> </w:t>
      </w:r>
      <w:r>
        <w:t xml:space="preserve">| T1 | Google Trends + UBS Analytics | Automated | Monthly |</w:t>
      </w:r>
      <w:r>
        <w:t xml:space="preserve"> </w:t>
      </w:r>
      <w:r>
        <w:t xml:space="preserve">| T2 | FINMA/ECB Regulatory Databases | Manual review | Quarterly |</w:t>
      </w:r>
      <w:r>
        <w:t xml:space="preserve"> </w:t>
      </w:r>
      <w:r>
        <w:t xml:space="preserve">| T3 | UBS Internal Client Analytics | Automated | Monthly |</w:t>
      </w:r>
      <w:r>
        <w:t xml:space="preserve"> </w:t>
      </w:r>
      <w:r>
        <w:t xml:space="preserve">| T4 | UBS Client Survey | Survey tool | Semi-annual |</w:t>
      </w:r>
      <w:r>
        <w:t xml:space="preserve"> </w:t>
      </w:r>
      <w:r>
        <w:t xml:space="preserve">| T5 | Media Monitoring Platform | Automated | Continuous |</w:t>
      </w:r>
      <w:r>
        <w:t xml:space="preserve"> </w:t>
      </w:r>
      <w:r>
        <w:t xml:space="preserve">| T6 | UBS NPS System | Automated | Quarterly |</w:t>
      </w:r>
    </w:p>
    <w:p>
      <w:pPr>
        <w:pStyle w:val="BodyText"/>
      </w:pPr>
      <w:r>
        <w:rPr>
          <w:bCs/>
          <w:b/>
        </w:rPr>
        <w:t xml:space="preserve">Alert Thresholds:</w:t>
      </w:r>
      <w:r>
        <w:t xml:space="preserve"> </w:t>
      </w:r>
      <w:r>
        <w:t xml:space="preserve">- Green: Within ±1σ of expected trajectory</w:t>
      </w:r>
      <w:r>
        <w:t xml:space="preserve"> </w:t>
      </w:r>
      <w:r>
        <w:t xml:space="preserve">- Amber: Between 1σ and 2σ deviation, or approaching scenario threshold</w:t>
      </w:r>
      <w:r>
        <w:t xml:space="preserve"> </w:t>
      </w:r>
      <w:r>
        <w:t xml:space="preserve">- Red: Exceeds scenario threshold or &gt;2σ deviation</w:t>
      </w:r>
    </w:p>
    <w:p>
      <w:pPr>
        <w:pStyle w:val="BodyText"/>
      </w:pPr>
      <w:r>
        <w:rPr>
          <w:bCs/>
          <w:b/>
        </w:rPr>
        <w:t xml:space="preserve">Escalation:</w:t>
      </w:r>
      <w:r>
        <w:t xml:space="preserve"> </w:t>
      </w:r>
      <w:r>
        <w:t xml:space="preserve">- Amber: Include in next quarterly review agenda</w:t>
      </w:r>
      <w:r>
        <w:t xml:space="preserve"> </w:t>
      </w:r>
      <w:r>
        <w:t xml:space="preserve">- Red: Ad hoc strategy session within 48 hours</w:t>
      </w:r>
      <w:r>
        <w:t xml:space="preserve"> </w:t>
      </w:r>
      <w:r>
        <w:t xml:space="preserve">- Multiple red: Emergency CMO briefing, potential board notification</w:t>
      </w:r>
    </w:p>
    <w:bookmarkEnd w:id="142"/>
    <w:bookmarkStart w:id="143" w:name="appendix-d-behavioral-parameter-sources"/>
    <w:p>
      <w:pPr>
        <w:pStyle w:val="Heading2"/>
      </w:pPr>
      <w:r>
        <w:t xml:space="preserve">Appendix D: Behavioral Parameter Sources</w:t>
      </w:r>
    </w:p>
    <w:tbl>
      <w:tblPr>
        <w:tblStyle w:val="Table"/>
        <w:tblW w:type="pct" w:w="5000"/>
        <w:tblLook w:firstRow="1" w:lastRow="0" w:firstColumn="0" w:lastColumn="0" w:noHBand="0" w:noVBand="0" w:val="0020"/>
        <w:jc w:val="start"/>
      </w:tblPr>
      <w:tblGrid>
        <w:gridCol w:w="2562"/>
        <w:gridCol w:w="1630"/>
        <w:gridCol w:w="1863"/>
        <w:gridCol w:w="1863"/>
      </w:tblGrid>
      <w:tr>
        <w:trPr>
          <w:tblHeader w:val="true"/>
        </w:trPr>
        <w:tc>
          <w:tcPr/>
          <w:p>
            <w:pPr>
              <w:pStyle w:val="Compact"/>
              <w:jc w:val="left"/>
            </w:pPr>
            <w:r>
              <w:t xml:space="preserve">Parameter</w:t>
            </w:r>
          </w:p>
        </w:tc>
        <w:tc>
          <w:tcPr/>
          <w:p>
            <w:pPr>
              <w:pStyle w:val="Compact"/>
              <w:jc w:val="left"/>
            </w:pPr>
            <w:r>
              <w:t xml:space="preserve">Value</w:t>
            </w:r>
          </w:p>
        </w:tc>
        <w:tc>
          <w:tcPr/>
          <w:p>
            <w:pPr>
              <w:pStyle w:val="Compact"/>
              <w:jc w:val="left"/>
            </w:pPr>
            <w:r>
              <w:t xml:space="preserve">Source</w:t>
            </w:r>
          </w:p>
        </w:tc>
        <w:tc>
          <w:tcPr/>
          <w:p>
            <w:pPr>
              <w:pStyle w:val="Compact"/>
              <w:jc w:val="left"/>
            </w:pPr>
            <w:r>
              <w:t xml:space="preserve">Theory</w:t>
            </w:r>
          </w:p>
        </w:tc>
      </w:tr>
      <w:tr>
        <w:tc>
          <w:tcPr/>
          <w:p>
            <w:pPr>
              <w:pStyle w:val="Compact"/>
              <w:jc w:val="left"/>
            </w:pPr>
            <w:r>
              <w:t xml:space="preserve">λ (Loss Aversion)</w:t>
            </w:r>
          </w:p>
        </w:tc>
        <w:tc>
          <w:tcPr/>
          <w:p>
            <w:pPr>
              <w:pStyle w:val="Compact"/>
              <w:jc w:val="left"/>
            </w:pPr>
            <w:r>
              <w:t xml:space="preserve">1.6–2.2 by segment</w:t>
            </w:r>
          </w:p>
        </w:tc>
        <w:tc>
          <w:tcPr/>
          <w:p>
            <w:pPr>
              <w:pStyle w:val="Compact"/>
              <w:jc w:val="left"/>
            </w:pPr>
            <w:r>
              <w:t xml:space="preserve">Kahneman &amp; Tversky (1979), calibrated for WM</w:t>
            </w:r>
          </w:p>
        </w:tc>
        <w:tc>
          <w:tcPr/>
          <w:p>
            <w:pPr>
              <w:pStyle w:val="Compact"/>
              <w:jc w:val="left"/>
            </w:pPr>
            <w:r>
              <w:t xml:space="preserve">MS-RD-001</w:t>
            </w:r>
          </w:p>
        </w:tc>
      </w:tr>
      <w:tr>
        <w:tc>
          <w:tcPr/>
          <w:p>
            <w:pPr>
              <w:pStyle w:val="Compact"/>
              <w:jc w:val="left"/>
            </w:pPr>
            <w:r>
              <w:t xml:space="preserve">τ (Trust)</w:t>
            </w:r>
          </w:p>
        </w:tc>
        <w:tc>
          <w:tcPr/>
          <w:p>
            <w:pPr>
              <w:pStyle w:val="Compact"/>
              <w:jc w:val="left"/>
            </w:pPr>
            <w:r>
              <w:t xml:space="preserve">0.55–0.85 by segment</w:t>
            </w:r>
          </w:p>
        </w:tc>
        <w:tc>
          <w:tcPr/>
          <w:p>
            <w:pPr>
              <w:pStyle w:val="Compact"/>
              <w:jc w:val="left"/>
            </w:pPr>
            <w:r>
              <w:t xml:space="preserve">LLMMC prior, UBS internal data</w:t>
            </w:r>
          </w:p>
        </w:tc>
        <w:tc>
          <w:tcPr/>
          <w:p>
            <w:pPr>
              <w:pStyle w:val="Compact"/>
              <w:jc w:val="left"/>
            </w:pPr>
            <w:r>
              <w:t xml:space="preserve">EBF parameterization</w:t>
            </w:r>
          </w:p>
        </w:tc>
      </w:tr>
      <w:tr>
        <w:tc>
          <w:tcPr/>
          <w:p>
            <w:pPr>
              <w:pStyle w:val="Compact"/>
              <w:jc w:val="left"/>
            </w:pPr>
            <w:r>
              <w:t xml:space="preserve">β (Present Bias)</w:t>
            </w:r>
          </w:p>
        </w:tc>
        <w:tc>
          <w:tcPr/>
          <w:p>
            <w:pPr>
              <w:pStyle w:val="Compact"/>
              <w:jc w:val="left"/>
            </w:pPr>
            <w:r>
              <w:t xml:space="preserve">0.78–0.92 by segment</w:t>
            </w:r>
          </w:p>
        </w:tc>
        <w:tc>
          <w:tcPr/>
          <w:p>
            <w:pPr>
              <w:pStyle w:val="Compact"/>
              <w:jc w:val="left"/>
            </w:pPr>
            <w:r>
              <w:t xml:space="preserve">Laibson (1997), calibrated</w:t>
            </w:r>
          </w:p>
        </w:tc>
        <w:tc>
          <w:tcPr/>
          <w:p>
            <w:pPr>
              <w:pStyle w:val="Compact"/>
              <w:jc w:val="left"/>
            </w:pPr>
            <w:r>
              <w:t xml:space="preserve">MS-TP-001</w:t>
            </w:r>
          </w:p>
        </w:tc>
      </w:tr>
      <w:tr>
        <w:tc>
          <w:tcPr/>
          <w:p>
            <w:pPr>
              <w:pStyle w:val="Compact"/>
              <w:jc w:val="left"/>
            </w:pPr>
            <w:r>
              <w:t xml:space="preserve">ι (Identity)</w:t>
            </w:r>
          </w:p>
        </w:tc>
        <w:tc>
          <w:tcPr/>
          <w:p>
            <w:pPr>
              <w:pStyle w:val="Compact"/>
              <w:jc w:val="left"/>
            </w:pPr>
            <w:r>
              <w:t xml:space="preserve">0.40–0.85 by segment</w:t>
            </w:r>
          </w:p>
        </w:tc>
        <w:tc>
          <w:tcPr/>
          <w:p>
            <w:pPr>
              <w:pStyle w:val="Compact"/>
              <w:jc w:val="left"/>
            </w:pPr>
            <w:r>
              <w:t xml:space="preserve">Akerlof &amp; Kranton (2000)</w:t>
            </w:r>
          </w:p>
        </w:tc>
        <w:tc>
          <w:tcPr/>
          <w:p>
            <w:pPr>
              <w:pStyle w:val="Compact"/>
              <w:jc w:val="left"/>
            </w:pPr>
            <w:r>
              <w:t xml:space="preserve">MS-IB-001</w:t>
            </w:r>
          </w:p>
        </w:tc>
      </w:tr>
      <w:tr>
        <w:tc>
          <w:tcPr/>
          <w:p>
            <w:pPr>
              <w:pStyle w:val="Compact"/>
              <w:jc w:val="left"/>
            </w:pPr>
            <w:r>
              <w:t xml:space="preserve">σ (Switching Cost)</w:t>
            </w:r>
          </w:p>
        </w:tc>
        <w:tc>
          <w:tcPr/>
          <w:p>
            <w:pPr>
              <w:pStyle w:val="Compact"/>
              <w:jc w:val="left"/>
            </w:pPr>
            <w:r>
              <w:t xml:space="preserve">0.25–0.80 by segment</w:t>
            </w:r>
          </w:p>
        </w:tc>
        <w:tc>
          <w:tcPr/>
          <w:p>
            <w:pPr>
              <w:pStyle w:val="Compact"/>
              <w:jc w:val="left"/>
            </w:pPr>
            <w:r>
              <w:t xml:space="preserve">LLMMC prior, industry benchmarks</w:t>
            </w:r>
          </w:p>
        </w:tc>
        <w:tc>
          <w:tcPr/>
          <w:p>
            <w:pPr>
              <w:pStyle w:val="Compact"/>
              <w:jc w:val="left"/>
            </w:pPr>
            <w:r>
              <w:t xml:space="preserve">EBF parameterization</w:t>
            </w:r>
          </w:p>
        </w:tc>
      </w:tr>
      <w:tr>
        <w:tc>
          <w:tcPr/>
          <w:p>
            <w:pPr>
              <w:pStyle w:val="Compact"/>
              <w:jc w:val="left"/>
            </w:pPr>
            <w:r>
              <w:t xml:space="preserve">γ (Complementarity)</w:t>
            </w:r>
          </w:p>
        </w:tc>
        <w:tc>
          <w:tcPr/>
          <w:p>
            <w:pPr>
              <w:pStyle w:val="Compact"/>
              <w:jc w:val="left"/>
            </w:pPr>
            <w:r>
              <w:t xml:space="preserve">0.25–0.45 by module pair</w:t>
            </w:r>
          </w:p>
        </w:tc>
        <w:tc>
          <w:tcPr/>
          <w:p>
            <w:pPr>
              <w:pStyle w:val="Compact"/>
              <w:jc w:val="left"/>
            </w:pPr>
            <w:r>
              <w:t xml:space="preserve">EBF PAR-COMP framework</w:t>
            </w:r>
          </w:p>
        </w:tc>
        <w:tc>
          <w:tcPr/>
          <w:p>
            <w:pPr>
              <w:pStyle w:val="Compact"/>
              <w:jc w:val="left"/>
            </w:pPr>
            <w:r>
              <w:t xml:space="preserve">PAR-COMP-001 analogues</w:t>
            </w:r>
          </w:p>
        </w:tc>
      </w:tr>
      <w:tr>
        <w:tc>
          <w:tcPr/>
          <w:p>
            <w:pPr>
              <w:pStyle w:val="Compact"/>
              <w:jc w:val="left"/>
            </w:pPr>
            <w:r>
              <w:t xml:space="preserve">DC Premium</w:t>
            </w:r>
          </w:p>
        </w:tc>
        <w:tc>
          <w:tcPr/>
          <w:p>
            <w:pPr>
              <w:pStyle w:val="Compact"/>
              <w:jc w:val="left"/>
            </w:pPr>
            <w:r>
              <w:t xml:space="preserve">1.45x [1.26, 1.65]</w:t>
            </w:r>
          </w:p>
        </w:tc>
        <w:tc>
          <w:tcPr/>
          <w:p>
            <w:pPr>
              <w:pStyle w:val="Compact"/>
              <w:jc w:val="left"/>
            </w:pPr>
            <w:r>
              <w:t xml:space="preserve">Cunha &amp; Heckman (2007)</w:t>
            </w:r>
          </w:p>
        </w:tc>
        <w:tc>
          <w:tcPr/>
          <w:p>
            <w:pPr>
              <w:pStyle w:val="Compact"/>
              <w:jc w:val="left"/>
            </w:pPr>
            <w:r>
              <w:t xml:space="preserve">MS-SF-003</w:t>
            </w:r>
          </w:p>
        </w:tc>
      </w:tr>
    </w:tbl>
    <w:bookmarkEnd w:id="143"/>
    <w:bookmarkStart w:id="144" w:name="appendix-e-glossary"/>
    <w:p>
      <w:pPr>
        <w:pStyle w:val="Heading2"/>
      </w:pPr>
      <w:r>
        <w:t xml:space="preserve">Appendix E: Glossary</w:t>
      </w:r>
    </w:p>
    <w:tbl>
      <w:tblPr>
        <w:tblStyle w:val="Table"/>
        <w:tblW w:type="pct" w:w="5000"/>
        <w:tblLook w:firstRow="1" w:lastRow="0" w:firstColumn="0" w:lastColumn="0" w:noHBand="0" w:noVBand="0" w:val="0020"/>
        <w:jc w:val="start"/>
      </w:tblPr>
      <w:tblGrid>
        <w:gridCol w:w="2795"/>
        <w:gridCol w:w="5124"/>
      </w:tblGrid>
      <w:tr>
        <w:trPr>
          <w:tblHeader w:val="true"/>
        </w:trPr>
        <w:tc>
          <w:tcPr/>
          <w:p>
            <w:pPr>
              <w:pStyle w:val="Compact"/>
              <w:jc w:val="left"/>
            </w:pPr>
            <w:r>
              <w:t xml:space="preserve">Term</w:t>
            </w:r>
          </w:p>
        </w:tc>
        <w:tc>
          <w:tcPr/>
          <w:p>
            <w:pPr>
              <w:pStyle w:val="Compact"/>
              <w:jc w:val="left"/>
            </w:pPr>
            <w:r>
              <w:t xml:space="preserve">Definition</w:t>
            </w:r>
          </w:p>
        </w:tc>
      </w:tr>
      <w:tr>
        <w:tc>
          <w:tcPr/>
          <w:p>
            <w:pPr>
              <w:pStyle w:val="Compact"/>
              <w:jc w:val="left"/>
            </w:pPr>
            <w:r>
              <w:rPr>
                <w:bCs/>
                <w:b/>
              </w:rPr>
              <w:t xml:space="preserve">AIO</w:t>
            </w:r>
          </w:p>
        </w:tc>
        <w:tc>
          <w:tcPr/>
          <w:p>
            <w:pPr>
              <w:pStyle w:val="Compact"/>
              <w:jc w:val="left"/>
            </w:pPr>
            <w:r>
              <w:t xml:space="preserve">AI Assistant Optimization — the practice of optimizing content for AI assistant recommendations (analogous to SEO)</w:t>
            </w:r>
          </w:p>
        </w:tc>
      </w:tr>
      <w:tr>
        <w:tc>
          <w:tcPr/>
          <w:p>
            <w:pPr>
              <w:pStyle w:val="Compact"/>
              <w:jc w:val="left"/>
            </w:pPr>
            <w:r>
              <w:rPr>
                <w:bCs/>
                <w:b/>
              </w:rPr>
              <w:t xml:space="preserve">AuM</w:t>
            </w:r>
          </w:p>
        </w:tc>
        <w:tc>
          <w:tcPr/>
          <w:p>
            <w:pPr>
              <w:pStyle w:val="Compact"/>
              <w:jc w:val="left"/>
            </w:pPr>
            <w:r>
              <w:t xml:space="preserve">Assets under Management</w:t>
            </w:r>
          </w:p>
        </w:tc>
      </w:tr>
      <w:tr>
        <w:tc>
          <w:tcPr/>
          <w:p>
            <w:pPr>
              <w:pStyle w:val="Compact"/>
              <w:jc w:val="left"/>
            </w:pPr>
            <w:r>
              <w:rPr>
                <w:bCs/>
                <w:b/>
              </w:rPr>
              <w:t xml:space="preserve">BEATRIX</w:t>
            </w:r>
          </w:p>
        </w:tc>
        <w:tc>
          <w:tcPr/>
          <w:p>
            <w:pPr>
              <w:pStyle w:val="Compact"/>
              <w:jc w:val="left"/>
            </w:pPr>
            <w:r>
              <w:t xml:space="preserve">Behavioral Economics Analytics and Transformation Intelligence System</w:t>
            </w:r>
          </w:p>
        </w:tc>
      </w:tr>
      <w:tr>
        <w:tc>
          <w:tcPr/>
          <w:p>
            <w:pPr>
              <w:pStyle w:val="Compact"/>
              <w:jc w:val="left"/>
            </w:pPr>
            <w:r>
              <w:rPr>
                <w:bCs/>
                <w:b/>
              </w:rPr>
              <w:t xml:space="preserve">DC Premium</w:t>
            </w:r>
          </w:p>
        </w:tc>
        <w:tc>
          <w:tcPr/>
          <w:p>
            <w:pPr>
              <w:pStyle w:val="Compact"/>
              <w:jc w:val="left"/>
            </w:pPr>
            <w:r>
              <w:t xml:space="preserve">Dynamic Complementarity Premium — the additional return from early versus late skill investment</w:t>
            </w:r>
          </w:p>
        </w:tc>
      </w:tr>
      <w:tr>
        <w:tc>
          <w:tcPr/>
          <w:p>
            <w:pPr>
              <w:pStyle w:val="Compact"/>
              <w:jc w:val="left"/>
            </w:pPr>
            <w:r>
              <w:rPr>
                <w:bCs/>
                <w:b/>
              </w:rPr>
              <w:t xml:space="preserve">EBF</w:t>
            </w:r>
          </w:p>
        </w:tc>
        <w:tc>
          <w:tcPr/>
          <w:p>
            <w:pPr>
              <w:pStyle w:val="Compact"/>
              <w:jc w:val="left"/>
            </w:pPr>
            <w:r>
              <w:t xml:space="preserve">Evidence-Based Framework for Economic and Social Behavior</w:t>
            </w:r>
          </w:p>
        </w:tc>
      </w:tr>
      <w:tr>
        <w:tc>
          <w:tcPr/>
          <w:p>
            <w:pPr>
              <w:pStyle w:val="Compact"/>
              <w:jc w:val="left"/>
            </w:pPr>
            <w:r>
              <w:rPr>
                <w:bCs/>
                <w:b/>
              </w:rPr>
              <w:t xml:space="preserve">EWS</w:t>
            </w:r>
          </w:p>
        </w:tc>
        <w:tc>
          <w:tcPr/>
          <w:p>
            <w:pPr>
              <w:pStyle w:val="Compact"/>
              <w:jc w:val="left"/>
            </w:pPr>
            <w:r>
              <w:t xml:space="preserve">Early Warning System</w:t>
            </w:r>
          </w:p>
        </w:tc>
      </w:tr>
      <w:tr>
        <w:tc>
          <w:tcPr/>
          <w:p>
            <w:pPr>
              <w:pStyle w:val="Compact"/>
              <w:jc w:val="left"/>
            </w:pPr>
            <w:r>
              <w:rPr>
                <w:bCs/>
                <w:b/>
              </w:rPr>
              <w:t xml:space="preserve">F1–F7</w:t>
            </w:r>
          </w:p>
        </w:tc>
        <w:tc>
          <w:tcPr/>
          <w:p>
            <w:pPr>
              <w:pStyle w:val="Compact"/>
              <w:jc w:val="left"/>
            </w:pPr>
            <w:r>
              <w:t xml:space="preserve">Seven marketing functions analyzed in Module 1</w:t>
            </w:r>
          </w:p>
        </w:tc>
      </w:tr>
      <w:tr>
        <w:tc>
          <w:tcPr/>
          <w:p>
            <w:pPr>
              <w:pStyle w:val="Compact"/>
              <w:jc w:val="left"/>
            </w:pPr>
            <w:r>
              <w:rPr>
                <w:bCs/>
                <w:b/>
              </w:rPr>
              <w:t xml:space="preserve">FINMA</w:t>
            </w:r>
          </w:p>
        </w:tc>
        <w:tc>
          <w:tcPr/>
          <w:p>
            <w:pPr>
              <w:pStyle w:val="Compact"/>
              <w:jc w:val="left"/>
            </w:pPr>
            <w:r>
              <w:t xml:space="preserve">Swiss Financial Market Supervisory Authority</w:t>
            </w:r>
          </w:p>
        </w:tc>
      </w:tr>
      <w:tr>
        <w:tc>
          <w:tcPr/>
          <w:p>
            <w:pPr>
              <w:pStyle w:val="Compact"/>
              <w:jc w:val="left"/>
            </w:pPr>
            <w:r>
              <w:rPr>
                <w:bCs/>
                <w:b/>
              </w:rPr>
              <w:t xml:space="preserve">MC</w:t>
            </w:r>
          </w:p>
        </w:tc>
        <w:tc>
          <w:tcPr/>
          <w:p>
            <w:pPr>
              <w:pStyle w:val="Compact"/>
              <w:jc w:val="left"/>
            </w:pPr>
            <w:r>
              <w:t xml:space="preserve">Monte Carlo (simulation method)</w:t>
            </w:r>
          </w:p>
        </w:tc>
      </w:tr>
      <w:tr>
        <w:tc>
          <w:tcPr/>
          <w:p>
            <w:pPr>
              <w:pStyle w:val="Compact"/>
              <w:jc w:val="left"/>
            </w:pPr>
            <w:r>
              <w:rPr>
                <w:bCs/>
                <w:b/>
              </w:rPr>
              <w:t xml:space="preserve">Must-Win</w:t>
            </w:r>
          </w:p>
        </w:tc>
        <w:tc>
          <w:tcPr/>
          <w:p>
            <w:pPr>
              <w:pStyle w:val="Compact"/>
              <w:jc w:val="left"/>
            </w:pPr>
            <w:r>
              <w:t xml:space="preserve">Capability where competitive failure is existentially threatening</w:t>
            </w:r>
          </w:p>
        </w:tc>
      </w:tr>
      <w:tr>
        <w:tc>
          <w:tcPr/>
          <w:p>
            <w:pPr>
              <w:pStyle w:val="Compact"/>
              <w:jc w:val="left"/>
            </w:pPr>
            <w:r>
              <w:rPr>
                <w:bCs/>
                <w:b/>
              </w:rPr>
              <w:t xml:space="preserve">No-Regret Move</w:t>
            </w:r>
          </w:p>
        </w:tc>
        <w:tc>
          <w:tcPr/>
          <w:p>
            <w:pPr>
              <w:pStyle w:val="Compact"/>
              <w:jc w:val="left"/>
            </w:pPr>
            <w:r>
              <w:t xml:space="preserve">Investment that creates value across all scenarios (NR &gt; 0.80)</w:t>
            </w:r>
          </w:p>
        </w:tc>
      </w:tr>
      <w:tr>
        <w:tc>
          <w:tcPr/>
          <w:p>
            <w:pPr>
              <w:pStyle w:val="Compact"/>
              <w:jc w:val="left"/>
            </w:pPr>
            <w:r>
              <w:rPr>
                <w:bCs/>
                <w:b/>
              </w:rPr>
              <w:t xml:space="preserve">NR Score</w:t>
            </w:r>
          </w:p>
        </w:tc>
        <w:tc>
          <w:tcPr/>
          <w:p>
            <w:pPr>
              <w:pStyle w:val="Compact"/>
              <w:jc w:val="left"/>
            </w:pPr>
            <w:r>
              <w:t xml:space="preserve">No-Regret score: NR = ρ·V_min + (1−ρ)·O + r·L</w:t>
            </w:r>
          </w:p>
        </w:tc>
      </w:tr>
      <w:tr>
        <w:tc>
          <w:tcPr/>
          <w:p>
            <w:pPr>
              <w:pStyle w:val="Compact"/>
              <w:jc w:val="left"/>
            </w:pPr>
            <w:r>
              <w:rPr>
                <w:bCs/>
                <w:b/>
              </w:rPr>
              <w:t xml:space="preserve">NR1–NR6</w:t>
            </w:r>
          </w:p>
        </w:tc>
        <w:tc>
          <w:tcPr/>
          <w:p>
            <w:pPr>
              <w:pStyle w:val="Compact"/>
              <w:jc w:val="left"/>
            </w:pPr>
            <w:r>
              <w:t xml:space="preserve">Six no-regret moves identified in Module 4</w:t>
            </w:r>
          </w:p>
        </w:tc>
      </w:tr>
      <w:tr>
        <w:tc>
          <w:tcPr/>
          <w:p>
            <w:pPr>
              <w:pStyle w:val="Compact"/>
              <w:jc w:val="left"/>
            </w:pPr>
            <w:r>
              <w:rPr>
                <w:bCs/>
                <w:b/>
              </w:rPr>
              <w:t xml:space="preserve">S1/S2/S3</w:t>
            </w:r>
          </w:p>
        </w:tc>
        <w:tc>
          <w:tcPr/>
          <w:p>
            <w:pPr>
              <w:pStyle w:val="Compact"/>
              <w:jc w:val="left"/>
            </w:pPr>
            <w:r>
              <w:t xml:space="preserve">Three scenarios: BigTech Dominance / Hybrid Evolution / Trust-Anchored Banking</w:t>
            </w:r>
          </w:p>
        </w:tc>
      </w:tr>
      <w:tr>
        <w:tc>
          <w:tcPr/>
          <w:p>
            <w:pPr>
              <w:pStyle w:val="Compact"/>
              <w:jc w:val="left"/>
            </w:pPr>
            <w:r>
              <w:rPr>
                <w:bCs/>
                <w:b/>
              </w:rPr>
              <w:t xml:space="preserve">SEG-</w:t>
            </w:r>
          </w:p>
        </w:tc>
        <w:tc>
          <w:tcPr/>
          <w:p>
            <w:pPr>
              <w:pStyle w:val="Compact"/>
              <w:jc w:val="left"/>
            </w:pPr>
            <w:r>
              <w:t xml:space="preserve">Customer segment prefix (LEGACY, CS-MIGRATED, DIGITAL, UHNW)</w:t>
            </w:r>
          </w:p>
        </w:tc>
      </w:tr>
      <w:tr>
        <w:tc>
          <w:tcPr/>
          <w:p>
            <w:pPr>
              <w:pStyle w:val="Compact"/>
              <w:jc w:val="left"/>
            </w:pPr>
            <w:r>
              <w:rPr>
                <w:bCs/>
                <w:b/>
              </w:rPr>
              <w:t xml:space="preserve">T1–T6</w:t>
            </w:r>
          </w:p>
        </w:tc>
        <w:tc>
          <w:tcPr/>
          <w:p>
            <w:pPr>
              <w:pStyle w:val="Compact"/>
              <w:jc w:val="left"/>
            </w:pPr>
            <w:r>
              <w:t xml:space="preserve">Six early warning triggers</w:t>
            </w:r>
          </w:p>
        </w:tc>
      </w:tr>
      <w:tr>
        <w:tc>
          <w:tcPr/>
          <w:p>
            <w:pPr>
              <w:pStyle w:val="Compact"/>
              <w:jc w:val="left"/>
            </w:pPr>
            <w:r>
              <w:rPr>
                <w:bCs/>
                <w:b/>
              </w:rPr>
              <w:t xml:space="preserve">VaR</w:t>
            </w:r>
          </w:p>
        </w:tc>
        <w:tc>
          <w:tcPr/>
          <w:p>
            <w:pPr>
              <w:pStyle w:val="Compact"/>
              <w:jc w:val="left"/>
            </w:pPr>
            <w:r>
              <w:t xml:space="preserve">Value at Risk (5th percentile of value distribution)</w:t>
            </w:r>
          </w:p>
        </w:tc>
      </w:tr>
      <w:tr>
        <w:tc>
          <w:tcPr/>
          <w:p>
            <w:pPr>
              <w:pStyle w:val="Compact"/>
              <w:jc w:val="left"/>
            </w:pPr>
            <w:r>
              <w:rPr>
                <w:bCs/>
                <w:b/>
              </w:rPr>
              <w:t xml:space="preserve">Ψ</w:t>
            </w:r>
          </w:p>
        </w:tc>
        <w:tc>
          <w:tcPr/>
          <w:p>
            <w:pPr>
              <w:pStyle w:val="Compact"/>
              <w:jc w:val="left"/>
            </w:pPr>
            <w:r>
              <w:t xml:space="preserve">Psi — context dimension in the EBF framework</w:t>
            </w:r>
          </w:p>
        </w:tc>
      </w:tr>
    </w:tbl>
    <w:bookmarkEnd w:id="144"/>
    <w:bookmarkStart w:id="145" w:name="appendix-f-engagement-team-and-process"/>
    <w:p>
      <w:pPr>
        <w:pStyle w:val="Heading2"/>
      </w:pPr>
      <w:r>
        <w:t xml:space="preserve">Appendix F: Engagement Team and Process</w:t>
      </w:r>
    </w:p>
    <w:p>
      <w:pPr>
        <w:pStyle w:val="FirstParagraph"/>
      </w:pPr>
      <w:r>
        <w:rPr>
          <w:bCs/>
          <w:b/>
        </w:rPr>
        <w:t xml:space="preserve">FehrAdvice &amp; Partners AG</w:t>
      </w:r>
      <w:r>
        <w:t xml:space="preserve"> </w:t>
      </w:r>
      <w:r>
        <w:t xml:space="preserve">- Evidence-Based Framework (EBF) team</w:t>
      </w:r>
      <w:r>
        <w:t xml:space="preserve"> </w:t>
      </w:r>
      <w:r>
        <w:t xml:space="preserve">- Prof. Ernst Fehr — Scientific Advisory</w:t>
      </w:r>
    </w:p>
    <w:p>
      <w:pPr>
        <w:pStyle w:val="BodyText"/>
      </w:pPr>
      <w:r>
        <w:rPr>
          <w:bCs/>
          <w:b/>
        </w:rPr>
        <w:t xml:space="preserve">UBS Key Stakeholders</w:t>
      </w:r>
      <w:r>
        <w:t xml:space="preserve"> </w:t>
      </w:r>
      <w:r>
        <w:t xml:space="preserve">- Anna Benner, Lead AI Marketing Pod, Director</w:t>
      </w:r>
      <w:r>
        <w:t xml:space="preserve"> </w:t>
      </w:r>
      <w:r>
        <w:t xml:space="preserve">- Dang Nguyen, Head Marketing Strategy &amp; Intelligence, Managing Director</w:t>
      </w:r>
    </w:p>
    <w:p>
      <w:pPr>
        <w:pStyle w:val="BodyText"/>
      </w:pPr>
      <w:r>
        <w:rPr>
          <w:bCs/>
          <w:b/>
        </w:rPr>
        <w:t xml:space="preserve">Methodology:</w:t>
      </w:r>
      <w:r>
        <w:t xml:space="preserve"> </w:t>
      </w:r>
      <w:r>
        <w:t xml:space="preserve">- Phase 1 (2 weeks): Framework development, scenario construction, initial parameterization</w:t>
      </w:r>
      <w:r>
        <w:t xml:space="preserve"> </w:t>
      </w:r>
      <w:r>
        <w:t xml:space="preserve">- Schulterblick: Joint review session for alignment</w:t>
      </w:r>
      <w:r>
        <w:t xml:space="preserve"> </w:t>
      </w:r>
      <w:r>
        <w:t xml:space="preserve">- Phase 2: Refined analysis incorporating feedback</w:t>
      </w:r>
    </w:p>
    <w:p>
      <w:r>
        <w:pict>
          <v:rect style="width:0;height:1.5pt" o:hralign="center" o:hrstd="t" o:hr="t"/>
        </w:pict>
      </w:r>
    </w:p>
    <w:p>
      <w:pPr>
        <w:pStyle w:val="FirstParagraph"/>
      </w:pPr>
      <w:r>
        <w:rPr>
          <w:iCs/>
          <w:i/>
        </w:rPr>
        <w:t xml:space="preserve">This report was generated using the Evidence-Based Framework (EBF) v1.2 by FehrAdvice &amp; Partners AG. All quantitative results are based on Monte Carlo simulation (10,000 draws, seed=2026) and are reproducible. The formal axiom system (20 axioms, 8 propositions) ensures internal consistency and falsifiability.</w:t>
      </w:r>
    </w:p>
    <w:p>
      <w:pPr>
        <w:pStyle w:val="BodyText"/>
      </w:pPr>
      <w:r>
        <w:rPr>
          <w:iCs/>
          <w:i/>
        </w:rPr>
        <w:t xml:space="preserve">Model: MOD-UBS-AIMARK-001 v1.2 | Session: EBF-S-2026-02-12-FIN-001 | February 2026</w:t>
      </w:r>
    </w:p>
    <w:p>
      <w:r>
        <w:pict>
          <v:rect style="width:0;height:1.5pt" o:hralign="center" o:hrstd="t" o:hr="t"/>
        </w:pict>
      </w:r>
    </w:p>
    <w:p>
      <w:pPr>
        <w:pStyle w:val="FirstParagraph"/>
      </w:pPr>
      <w:r>
        <w:rPr>
          <w:bCs/>
          <w:b/>
        </w:rPr>
        <w:t xml:space="preserve">CONFIDENTIAL — UBS Internal Use Only</w:t>
      </w:r>
    </w:p>
    <w:p>
      <w:pPr>
        <w:pStyle w:val="BodyText"/>
      </w:pPr>
      <w:r>
        <w:rPr>
          <w:iCs/>
          <w:i/>
        </w:rPr>
        <w:t xml:space="preserve">© 2026 FehrAdvice &amp; Partners AG. All rights reserved.</w:t>
      </w:r>
    </w:p>
    <w:bookmarkEnd w:id="145"/>
    <w:bookmarkEnd w:id="14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2026-02-16T07:37:13Z</dcterms:created>
  <dcterms:modified xsi:type="dcterms:W3CDTF">2026-02-16T07:37:13Z</dcterms:modified>
</cp:coreProperties>
</file>

<file path=docProps/custom.xml><?xml version="1.0" encoding="utf-8"?>
<Properties xmlns="http://schemas.openxmlformats.org/officeDocument/2006/custom-properties" xmlns:vt="http://schemas.openxmlformats.org/officeDocument/2006/docPropsVTypes"/>
</file>