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color w:val="549EDE"/>
          <w:sz w:val="20"/>
        </w:rPr>
        <w:t>Vertriebstransformation ALPLA Industrial</w:t>
      </w:r>
    </w:p>
    <w:p>
      <w:pPr>
        <w:pStyle w:val="Title"/>
      </w:pPr>
      <w:r>
        <w:rPr>
          <w:rFonts w:ascii="Calibri" w:hAnsi="Calibri"/>
          <w:color w:val="024079"/>
        </w:rPr>
        <w:t>Workshop-Vorschlag: Customer Service Team</w:t>
        <w:br/>
        <w:t>«Wo stehen wir?»</w:t>
      </w:r>
    </w:p>
    <w:p>
      <w:r>
        <w:rPr>
          <w:rFonts w:ascii="Calibri" w:hAnsi="Calibri"/>
          <w:color w:val="549EDE"/>
          <w:sz w:val="20"/>
        </w:rPr>
        <w:t>FehrAdvice &amp; Partners AG | Februar 2026</w:t>
      </w:r>
    </w:p>
    <w:p/>
    <w:p>
      <w:pPr>
        <w:pStyle w:val="Heading1"/>
      </w:pPr>
      <w:r>
        <w:rPr>
          <w:rFonts w:ascii="Calibri" w:hAnsi="Calibri"/>
          <w:color w:val="024079"/>
        </w:rPr>
        <w:t>Zielsetzung</w:t>
      </w:r>
    </w:p>
    <w:p>
      <w:r>
        <w:rPr>
          <w:rFonts w:ascii="Calibri" w:hAnsi="Calibri"/>
          <w:b w:val="0"/>
          <w:i w:val="0"/>
          <w:color w:val="25212A"/>
          <w:sz w:val="20"/>
        </w:rPr>
        <w:t>Die Vertriebstransformation ist gestartet — die regelmässigen Sales-Community-Meetings laufen, die Kundenorientierung gewinnt an Kontur. Jetzt ist der richtige Zeitpunkt, den Vertriebsinnendienst (Customer Service) gezielt einzubinden: Überlastung adressieren, Zusammenarbeit stärken und die neue Arbeitslogik gemeinsam verankern.</w:t>
      </w:r>
    </w:p>
    <w:p>
      <w:r>
        <w:rPr>
          <w:rFonts w:ascii="Calibri" w:hAnsi="Calibri"/>
          <w:b w:val="0"/>
          <w:i w:val="0"/>
          <w:color w:val="25212A"/>
          <w:sz w:val="20"/>
        </w:rPr>
        <w:t>Der Workshop setzt dort an, wo der 2-Tages-Workshop in Steinabrückl aufgehört hat — fokussiert auf die operative Realität des CS-Teams.</w:t>
      </w:r>
    </w:p>
    <w:p>
      <w:pPr>
        <w:pStyle w:val="Heading1"/>
      </w:pPr>
      <w:r>
        <w:rPr>
          <w:rFonts w:ascii="Calibri" w:hAnsi="Calibri"/>
          <w:color w:val="024079"/>
        </w:rPr>
        <w:t>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0240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6480"/>
            <w:shd w:val="clear" w:color="auto" w:fill="0240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Dauer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1 Tag (Nachmittag + Abend + Vormittag)</w:t>
            </w:r>
          </w:p>
        </w:tc>
      </w:tr>
      <w:tr>
        <w:tc>
          <w:tcPr>
            <w:tcW w:type="dxa" w:w="2160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Ort</w:t>
            </w:r>
          </w:p>
        </w:tc>
        <w:tc>
          <w:tcPr>
            <w:tcW w:type="dxa" w:w="6480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In Werknähe (Kammern, Fertőszentmiklós oder Steinabrückl)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Teilnehmer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Thomas Maibohm, Roland Baumann, 5–6 CS-Kolleg:innen, FehrAdvice</w:t>
            </w:r>
          </w:p>
        </w:tc>
      </w:tr>
      <w:tr>
        <w:tc>
          <w:tcPr>
            <w:tcW w:type="dxa" w:w="2160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Moderation</w:t>
            </w:r>
          </w:p>
        </w:tc>
        <w:tc>
          <w:tcPr>
            <w:tcW w:type="dxa" w:w="6480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Thomas Maibohm &amp; FehrAdvice</w:t>
            </w:r>
          </w:p>
        </w:tc>
      </w:tr>
    </w:tbl>
    <w:p>
      <w:pPr>
        <w:pStyle w:val="Heading1"/>
      </w:pPr>
      <w:r>
        <w:rPr>
          <w:rFonts w:ascii="Calibri" w:hAnsi="Calibri"/>
          <w:color w:val="024079"/>
        </w:rPr>
        <w:t>Agenda</w:t>
      </w:r>
    </w:p>
    <w:p>
      <w:pPr>
        <w:pStyle w:val="Heading2"/>
      </w:pPr>
      <w:r>
        <w:rPr>
          <w:rFonts w:ascii="Calibri" w:hAnsi="Calibri"/>
          <w:color w:val="024079"/>
        </w:rPr>
        <w:t>Tag 1 — Nachmittag: Reflexion &amp; Standortbestimmung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0240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Zeit</w:t>
            </w:r>
          </w:p>
        </w:tc>
        <w:tc>
          <w:tcPr>
            <w:tcW w:type="dxa" w:w="2592"/>
            <w:shd w:val="clear" w:color="auto" w:fill="0240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Thema</w:t>
            </w:r>
          </w:p>
        </w:tc>
        <w:tc>
          <w:tcPr>
            <w:tcW w:type="dxa" w:w="5040"/>
            <w:shd w:val="clear" w:color="auto" w:fill="0240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Ziel / Methode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14:00 – 14:15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Welcome &amp; Kontext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Eröffnung durch Thomas &amp; Roland: Wo stehen wir im Gesamtbild der Transformation? Was hat sich seit Januar verändert?</w:t>
            </w:r>
          </w:p>
        </w:tc>
      </w:tr>
      <w:tr>
        <w:tc>
          <w:tcPr>
            <w:tcW w:type="dxa" w:w="1728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14:15 – 15:00</w:t>
            </w:r>
          </w:p>
        </w:tc>
        <w:tc>
          <w:tcPr>
            <w:tcW w:type="dxa" w:w="2592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Stimmen aus dem Team</w:t>
            </w:r>
          </w:p>
        </w:tc>
        <w:tc>
          <w:tcPr>
            <w:tcW w:type="dxa" w:w="5040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Jede:r CS-Kolleg:in berichtet 10 Min.: «Was hat sich verändert? Was funktioniert? Was nicht?» — Offene Runde, kein Bewertungsmodus.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15:00 – 15:15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Pause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25212A"/>
                <w:sz w:val="18"/>
              </w:rPr>
            </w:r>
          </w:p>
        </w:tc>
      </w:tr>
      <w:tr>
        <w:tc>
          <w:tcPr>
            <w:tcW w:type="dxa" w:w="1728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15:15 – 16:15</w:t>
            </w:r>
          </w:p>
        </w:tc>
        <w:tc>
          <w:tcPr>
            <w:tcW w:type="dxa" w:w="2592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Überlastung verstehen</w:t>
            </w:r>
          </w:p>
        </w:tc>
        <w:tc>
          <w:tcPr>
            <w:tcW w:type="dxa" w:w="5040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Strukturierte Analyse: Woher kommt die Überlastung? Gemeinsam Ursachen identifizieren (Prozesse, Kunden, Schnittstellen, Tools). Ziel: Von «alle haben zu viel» zu «diese 3 Hebel verändern wir».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16:15 – 17:00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Quick Wins definieren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Co-Creation: Was können wir sofort verändern? (Vertretungslogik, Priorisierung, Kommunikationsregeln). Jeder Quick Win bekommt einen Owner und ein Datum.</w:t>
            </w:r>
          </w:p>
        </w:tc>
      </w:tr>
      <w:tr>
        <w:tc>
          <w:tcPr>
            <w:tcW w:type="dxa" w:w="1728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19:00</w:t>
            </w:r>
          </w:p>
        </w:tc>
        <w:tc>
          <w:tcPr>
            <w:tcW w:type="dxa" w:w="2592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Gemeinsames Abendessen</w:t>
            </w:r>
          </w:p>
        </w:tc>
        <w:tc>
          <w:tcPr>
            <w:tcW w:type="dxa" w:w="5040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Beziehung stärken — informeller Austausch ausserhalb der Arbeitsumgebung.</w:t>
            </w:r>
          </w:p>
        </w:tc>
      </w:tr>
    </w:tbl>
    <w:p>
      <w:pPr>
        <w:pStyle w:val="Heading2"/>
      </w:pPr>
      <w:r>
        <w:rPr>
          <w:rFonts w:ascii="Calibri" w:hAnsi="Calibri"/>
          <w:color w:val="024079"/>
        </w:rPr>
        <w:t>Tag 2 — Vormittag: Zusammenarbeit &amp; Commitment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0240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Zeit</w:t>
            </w:r>
          </w:p>
        </w:tc>
        <w:tc>
          <w:tcPr>
            <w:tcW w:type="dxa" w:w="2592"/>
            <w:shd w:val="clear" w:color="auto" w:fill="0240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Thema</w:t>
            </w:r>
          </w:p>
        </w:tc>
        <w:tc>
          <w:tcPr>
            <w:tcW w:type="dxa" w:w="5040"/>
            <w:shd w:val="clear" w:color="auto" w:fill="0240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Ziel / Methode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09:00 – 09:15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Check-In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Energie &amp; Fokus: «Was nehme ich von gestern Abend mit?»</w:t>
            </w:r>
          </w:p>
        </w:tc>
      </w:tr>
      <w:tr>
        <w:tc>
          <w:tcPr>
            <w:tcW w:type="dxa" w:w="1728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09:15 – 10:15</w:t>
            </w:r>
          </w:p>
        </w:tc>
        <w:tc>
          <w:tcPr>
            <w:tcW w:type="dxa" w:w="2592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Teamstruktur &amp; Vertretung</w:t>
            </w:r>
          </w:p>
        </w:tc>
        <w:tc>
          <w:tcPr>
            <w:tcW w:type="dxa" w:w="5040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Wie organisieren wir uns, damit niemand allein steht? Team-Lead-Rolle definieren. Vertretungsmatrix skizzieren. Werksübergreifende Kommunikation (Ungarn, Rumänien) adressieren.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10:15 – 10:30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Pause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25212A"/>
                <w:sz w:val="18"/>
              </w:rPr>
            </w:r>
          </w:p>
        </w:tc>
      </w:tr>
      <w:tr>
        <w:tc>
          <w:tcPr>
            <w:tcW w:type="dxa" w:w="1728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10:30 – 11:30</w:t>
            </w:r>
          </w:p>
        </w:tc>
        <w:tc>
          <w:tcPr>
            <w:tcW w:type="dxa" w:w="2592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Kundenbeispiele durchspielen</w:t>
            </w:r>
          </w:p>
        </w:tc>
        <w:tc>
          <w:tcPr>
            <w:tcW w:type="dxa" w:w="5040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Anhand realer Fälle: «Wie läuft ein Kundenanliegen künftig ab?» Proaktiver Kundenansatz üben — nicht nur reagieren, sondern vorschlagen (Produktoptimierung, Kostenreduktion).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11:30 – 12:00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Commitment &amp; nächste Schritte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Gemeinsames Commitment auf 3–5 konkrete Veränderungen. Jeder formuliert: «Das nehme ich konkret mit.» Nächster Check-in-Termin festlegen.</w:t>
            </w:r>
          </w:p>
        </w:tc>
      </w:tr>
      <w:tr>
        <w:tc>
          <w:tcPr>
            <w:tcW w:type="dxa" w:w="1728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12:00</w:t>
            </w:r>
          </w:p>
        </w:tc>
        <w:tc>
          <w:tcPr>
            <w:tcW w:type="dxa" w:w="2592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Gemeinsames Mittagessen &amp; Abreise</w:t>
            </w:r>
          </w:p>
        </w:tc>
        <w:tc>
          <w:tcPr>
            <w:tcW w:type="dxa" w:w="5040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</w:r>
          </w:p>
        </w:tc>
      </w:tr>
    </w:tbl>
    <w:p>
      <w:pPr>
        <w:pStyle w:val="Heading1"/>
      </w:pPr>
      <w:r>
        <w:rPr>
          <w:rFonts w:ascii="Calibri" w:hAnsi="Calibri"/>
          <w:color w:val="024079"/>
        </w:rPr>
        <w:t>Erwartete Ergebnisse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0240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6480"/>
            <w:shd w:val="clear" w:color="auto" w:fill="0240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Überlastungs-Analyse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Top-3 Ursachen mit konkreten Lösungsansätzen</w:t>
            </w:r>
          </w:p>
        </w:tc>
      </w:tr>
      <w:tr>
        <w:tc>
          <w:tcPr>
            <w:tcW w:type="dxa" w:w="2880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Quick-Win-Liste</w:t>
            </w:r>
          </w:p>
        </w:tc>
        <w:tc>
          <w:tcPr>
            <w:tcW w:type="dxa" w:w="6480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5–8 sofort umsetzbare Verbesserungen mit Owner + Deadline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Vertretungsmatrix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Wer vertritt wen? Wie funktioniert werksübergreifende Abdeckung?</w:t>
            </w:r>
          </w:p>
        </w:tc>
      </w:tr>
      <w:tr>
        <w:tc>
          <w:tcPr>
            <w:tcW w:type="dxa" w:w="2880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Team-Lead-Rollenklarheit</w:t>
            </w:r>
          </w:p>
        </w:tc>
        <w:tc>
          <w:tcPr>
            <w:tcW w:type="dxa" w:w="6480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Definition der Team-Lead-Funktion für 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Commitment-Chart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Gemeinsam unterschriebene Vereinbarung: «So arbeiten wir ab jetzt»</w:t>
            </w:r>
          </w:p>
        </w:tc>
      </w:tr>
    </w:tbl>
    <w:p>
      <w:pPr>
        <w:pStyle w:val="Heading1"/>
      </w:pPr>
      <w:r>
        <w:rPr>
          <w:rFonts w:ascii="Calibri" w:hAnsi="Calibri"/>
          <w:color w:val="024079"/>
        </w:rPr>
        <w:t>Verhaltensökonomische Designprinzipien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0240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Prinzip</w:t>
            </w:r>
          </w:p>
        </w:tc>
        <w:tc>
          <w:tcPr>
            <w:tcW w:type="dxa" w:w="6480"/>
            <w:shd w:val="clear" w:color="auto" w:fill="0240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Anwendung im Workshop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Ownership &amp; Agency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Jede:r präsentiert eigene Perspektive → Verantwortung statt Betroffenheit</w:t>
            </w:r>
          </w:p>
        </w:tc>
      </w:tr>
      <w:tr>
        <w:tc>
          <w:tcPr>
            <w:tcW w:type="dxa" w:w="2880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Salience</w:t>
            </w:r>
          </w:p>
        </w:tc>
        <w:tc>
          <w:tcPr>
            <w:tcW w:type="dxa" w:w="6480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Überlastung wird sichtbar gemacht → nicht mehr «alle haben viel zu tun» sondern messbare Ursachen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Commitment Device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Quick Wins mit Owner + Datum → soziale Verbindlichkeit im Team</w:t>
            </w:r>
          </w:p>
        </w:tc>
      </w:tr>
      <w:tr>
        <w:tc>
          <w:tcPr>
            <w:tcW w:type="dxa" w:w="2880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Social Learning</w:t>
            </w:r>
          </w:p>
        </w:tc>
        <w:tc>
          <w:tcPr>
            <w:tcW w:type="dxa" w:w="6480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Gemeinsames Durchspielen realer Fälle → Lernen voneinander statt Top-down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Habit Formation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Wöchentliche Team-Meetings als Routine verankern → Rhythmus statt Reaktion</w:t>
            </w:r>
          </w:p>
        </w:tc>
      </w:tr>
    </w:tbl>
    <w:p>
      <w:pPr>
        <w:pStyle w:val="Heading1"/>
      </w:pPr>
      <w:r>
        <w:rPr>
          <w:rFonts w:ascii="Calibri" w:hAnsi="Calibri"/>
          <w:color w:val="024079"/>
        </w:rPr>
        <w:t>Einbettung in die Gesamttransformation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0240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Zeitraum</w:t>
            </w:r>
          </w:p>
        </w:tc>
        <w:tc>
          <w:tcPr>
            <w:tcW w:type="dxa" w:w="5328"/>
            <w:shd w:val="clear" w:color="auto" w:fill="0240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Meilenstein</w:t>
            </w:r>
          </w:p>
        </w:tc>
        <w:tc>
          <w:tcPr>
            <w:tcW w:type="dxa" w:w="1728"/>
            <w:shd w:val="clear" w:color="auto" w:fill="0240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Jan 2026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2-Tages-Workshop Steinabrückl (Sales + CS)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✅ Erledigt</w:t>
            </w:r>
          </w:p>
        </w:tc>
      </w:tr>
      <w:tr>
        <w:tc>
          <w:tcPr>
            <w:tcW w:type="dxa" w:w="1872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Feb 2026</w:t>
            </w:r>
          </w:p>
        </w:tc>
        <w:tc>
          <w:tcPr>
            <w:tcW w:type="dxa" w:w="5328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Sales Community Meetings + Jour Fixe</w:t>
            </w:r>
          </w:p>
        </w:tc>
        <w:tc>
          <w:tcPr>
            <w:tcW w:type="dxa" w:w="1728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✅ Läuft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Mär 2026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► DIESER WORKSHOP: CS-Team Fokus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☐ Geplant</w:t>
            </w:r>
          </w:p>
        </w:tc>
      </w:tr>
      <w:tr>
        <w:tc>
          <w:tcPr>
            <w:tcW w:type="dxa" w:w="1872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3. Mär 2026</w:t>
            </w:r>
          </w:p>
        </w:tc>
        <w:tc>
          <w:tcPr>
            <w:tcW w:type="dxa" w:w="5328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Incentivierungs-Meeting</w:t>
            </w:r>
          </w:p>
        </w:tc>
        <w:tc>
          <w:tcPr>
            <w:tcW w:type="dxa" w:w="1728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☐ Geplant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Mär 2026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Townhall «Sales Transformation 2026» (gesamt)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☐ Geplant</w:t>
            </w:r>
          </w:p>
        </w:tc>
      </w:tr>
      <w:tr>
        <w:tc>
          <w:tcPr>
            <w:tcW w:type="dxa" w:w="1872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Q2 2026</w:t>
            </w:r>
          </w:p>
        </w:tc>
        <w:tc>
          <w:tcPr>
            <w:tcW w:type="dxa" w:w="5328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Puls-Check &amp; Mini-Interviews</w:t>
            </w:r>
          </w:p>
        </w:tc>
        <w:tc>
          <w:tcPr>
            <w:tcW w:type="dxa" w:w="1728"/>
            <w:shd w:val="clear" w:color="auto" w:fill="F3F5F7"/>
          </w:tcPr>
          <w:p>
            <w:r/>
            <w:r>
              <w:rPr>
                <w:rFonts w:ascii="Calibri" w:hAnsi="Calibri"/>
                <w:color w:val="25212A"/>
                <w:sz w:val="18"/>
              </w:rPr>
              <w:t>☐ Geplant</w:t>
            </w:r>
          </w:p>
        </w:tc>
      </w:tr>
    </w:tbl>
    <w:p>
      <w:pPr>
        <w:pStyle w:val="Heading1"/>
      </w:pPr>
      <w:r>
        <w:rPr>
          <w:rFonts w:ascii="Calibri" w:hAnsi="Calibri"/>
          <w:color w:val="024079"/>
        </w:rPr>
        <w:t>Vorbereitung (Pre-Work)</w:t>
      </w:r>
    </w:p>
    <w:p>
      <w:r>
        <w:rPr>
          <w:rFonts w:ascii="Calibri" w:hAnsi="Calibri"/>
          <w:b/>
          <w:i w:val="0"/>
          <w:color w:val="25212A"/>
          <w:sz w:val="20"/>
        </w:rPr>
        <w:t>Für CS-Kolleg:innen (vor dem Workshop):</w:t>
      </w:r>
    </w:p>
    <w:p>
      <w:pPr>
        <w:pStyle w:val="ListBullet"/>
      </w:pPr>
      <w:r>
        <w:rPr>
          <w:rFonts w:ascii="Calibri" w:hAnsi="Calibri"/>
          <w:sz w:val="20"/>
        </w:rPr>
        <w:t>10-Minuten-Reflexion vorbereiten: Was hat sich verändert? Was funktioniert / was nicht?</w:t>
      </w:r>
    </w:p>
    <w:p>
      <w:pPr>
        <w:pStyle w:val="ListBullet"/>
      </w:pPr>
      <w:r>
        <w:rPr>
          <w:rFonts w:ascii="Calibri" w:hAnsi="Calibri"/>
          <w:sz w:val="20"/>
        </w:rPr>
        <w:t>1 konkretes Kundenbeispiel mitbringen (positiv oder herausfordernd)</w:t>
      </w:r>
    </w:p>
    <w:p>
      <w:r>
        <w:rPr>
          <w:rFonts w:ascii="Calibri" w:hAnsi="Calibri"/>
          <w:b/>
          <w:i w:val="0"/>
          <w:color w:val="25212A"/>
          <w:sz w:val="20"/>
        </w:rPr>
        <w:t>Für Thomas &amp; Roland:</w:t>
      </w:r>
    </w:p>
    <w:p>
      <w:pPr>
        <w:pStyle w:val="ListBullet"/>
      </w:pPr>
      <w:r>
        <w:rPr>
          <w:rFonts w:ascii="Calibri" w:hAnsi="Calibri"/>
          <w:sz w:val="20"/>
        </w:rPr>
        <w:t>Überstunden-Daten pro Standort zusammenstellen</w:t>
      </w:r>
    </w:p>
    <w:p>
      <w:pPr>
        <w:pStyle w:val="ListBullet"/>
      </w:pPr>
      <w:r>
        <w:rPr>
          <w:rFonts w:ascii="Calibri" w:hAnsi="Calibri"/>
          <w:sz w:val="20"/>
        </w:rPr>
        <w:t>Aktuelle Vertretungssituation dokumentieren</w:t>
      </w:r>
    </w:p>
    <w:p/>
    <w:p>
      <w:pPr>
        <w:jc w:val="center"/>
      </w:pPr>
      <w:r>
        <w:rPr>
          <w:rFonts w:ascii="Calibri" w:hAnsi="Calibri"/>
          <w:color w:val="549EDE"/>
          <w:sz w:val="16"/>
        </w:rPr>
        <w:t>FehrAdvice &amp; Partners AG | CUS-ALPLA-PRJ-010 (ALP021)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521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