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UBS Growth Marketing Activation ��� EBF Behavioral Strategy Report</w:t>
      </w:r>
    </w:p>
    <w:p>
      <w:pPr>
        <w:pStyle w:val="Author"/>
      </w:pPr>
      <w:r>
        <w:t xml:space="preserve">FehrAdvice &amp; Partners AG</w:t>
      </w:r>
    </w:p>
    <w:p>
      <w:pPr>
        <w:pStyle w:val="Date"/>
      </w:pPr>
      <w:r>
        <w:t xml:space="preserve">13. Februar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6" w:name="X36346e766ca6400bea29f8bf4176166c54fba04"/>
    <w:p>
      <w:pPr>
        <w:pStyle w:val="Heading1"/>
      </w:pPr>
      <w:r>
        <w:t xml:space="preserve">UBS Growth Marketing Activation: Behavioral Strategy Report</w:t>
      </w:r>
    </w:p>
    <w:p>
      <w:pPr>
        <w:pStyle w:val="FirstParagraph"/>
      </w:pPr>
      <w:r>
        <w:rPr>
          <w:bCs/>
          <w:b/>
        </w:rPr>
        <w:t xml:space="preserve">Evidence-Based Framework (EBF)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FehrAdvice &amp; Partners AG | EBF Framework</w:t>
      </w:r>
      <w:r>
        <w:t xml:space="preserve"> </w:t>
      </w:r>
      <w:r>
        <w:rPr>
          <w:bCs/>
          <w:b/>
        </w:rPr>
        <w:t xml:space="preserve">Session:</w:t>
      </w:r>
      <w:r>
        <w:t xml:space="preserve"> </w:t>
      </w:r>
      <w:r>
        <w:t xml:space="preserve">EBF-S-2026-02-13-FIN-001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13. Februar 2026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Confidential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Die UBS steht nach der Credit-Suisse-Integration vor einer einmaligen Herausforderung: 3.7 Millionen Schweizer Kund:innen müssen aktiviert, gehalten und vertieft werden — bei gleichzeitigem Kostendruck (Cost-to-Income von 78% auf 70%) und zunehmendem Wettbewerb durch Neobanks und BigTech.</w:t>
      </w:r>
    </w:p>
    <w:p>
      <w:pPr>
        <w:pStyle w:val="BodyText"/>
      </w:pPr>
      <w:r>
        <w:t xml:space="preserve">Diese Analyse nutzt das Evidence-Based Framework (EBF) mit 8 Kontext-Dimensionen, 4 Verhaltensmodellen, 60+ validierten Parametern aus der BCM2-Kontextdatenbank und einer Monte-Carlo-Sensitivitätsanalyse, um eine datengestützte Behavioral-Marketing-Strategie zu entwickeln.</w:t>
      </w:r>
    </w:p>
    <w:bookmarkStart w:id="20" w:name="die-5-kernaussagen"/>
    <w:p>
      <w:pPr>
        <w:pStyle w:val="Heading3"/>
      </w:pPr>
      <w:r>
        <w:t xml:space="preserve">Die 5 Kernaussagen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Default-Architektur ist der universelle Hebel.</w:t>
      </w:r>
      <w:r>
        <w:t xml:space="preserve"> </w:t>
      </w:r>
      <w:r>
        <w:t xml:space="preserve">Die Schweizer Default-Compliance liegt bei κ = 0.85 (Deutschschweiz: 0.88-0.90). Opt-Out-Designs für Anlageprodukte können die Activation Rate von 5% auf 17-20% steigern.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Trust Recovery bei Ex-CS ist existenziell.</w:t>
      </w:r>
      <w:r>
        <w:t xml:space="preserve"> </w:t>
      </w:r>
      <w:r>
        <w:t xml:space="preserve">Die Vertrauenslücke (τ = 0.55 vs. Legacy τ = 0.75) gefährdet CHF 500 Mio. Revenue. Die Trust-Asymmetrie (β/α = 3.5) bedeutet: 1 Fehler braucht 4 positive Kontakte zur Kompensation. Fehler-Prävention hat 3.5× mehr Impact als Trust-Aufbau.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Digital-Only hat höchstes Churn-Risiko.</w:t>
      </w:r>
      <w:r>
        <w:t xml:space="preserve"> </w:t>
      </w:r>
      <w:r>
        <w:t xml:space="preserve">25-35% Abwanderungsrisiko (bis 45% nach SIX bLink). App-Friction von 0.60 vs. Revolut 0.15 = 4× Gap.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Life Events sind der effizienteste ROI-Hebel.</w:t>
      </w:r>
      <w:r>
        <w:t xml:space="preserve"> </w:t>
      </w:r>
      <w:r>
        <w:t xml:space="preserve">Erbschaft ×2.5, 3a-Deadline ×2.2, Bonus ×1.8. Timing schlägt Targeting.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CHF 1.44 Mrd. Swing zwischen Worst und Best Case.</w:t>
      </w:r>
      <w:r>
        <w:t xml:space="preserve"> </w:t>
      </w:r>
      <w:r>
        <w:t xml:space="preserve">Investment von CHF 18-38 Mio. in Behavioral Marketing generiert CHF 415-840 Mio. Return (10-40× ROI).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haltsverzeichnis"/>
    <w:p>
      <w:pPr>
        <w:pStyle w:val="Heading2"/>
      </w:pPr>
      <w:r>
        <w:t xml:space="preserve">Inhaltsverzeichnis</w:t>
      </w:r>
    </w:p>
    <w:p>
      <w:pPr>
        <w:numPr>
          <w:ilvl w:val="0"/>
          <w:numId w:val="1002"/>
        </w:numPr>
        <w:pStyle w:val="Compact"/>
      </w:pPr>
      <w:hyperlink w:anchor="Xa907f5512b97ac1c13285fee2dd95d86dcc8104">
        <w:r>
          <w:rPr>
            <w:rStyle w:val="Hyperlink"/>
          </w:rPr>
          <w:t xml:space="preserve">Einleitung und Fragestellung</w:t>
        </w:r>
      </w:hyperlink>
    </w:p>
    <w:p>
      <w:pPr>
        <w:numPr>
          <w:ilvl w:val="0"/>
          <w:numId w:val="1002"/>
        </w:numPr>
        <w:pStyle w:val="Compact"/>
      </w:pPr>
      <w:hyperlink w:anchor="X258048cdfb7ec5d2684cdf30ad4145b9305af07">
        <w:r>
          <w:rPr>
            <w:rStyle w:val="Hyperlink"/>
          </w:rPr>
          <w:t xml:space="preserve">Kontextanalyse (8 Ψ-Dimensionen)</w:t>
        </w:r>
      </w:hyperlink>
    </w:p>
    <w:p>
      <w:pPr>
        <w:numPr>
          <w:ilvl w:val="0"/>
          <w:numId w:val="1002"/>
        </w:numPr>
        <w:pStyle w:val="Compact"/>
      </w:pPr>
      <w:hyperlink w:anchor="Xc9277b1f5de2cbc87d50138361976df8f27cba0">
        <w:r>
          <w:rPr>
            <w:rStyle w:val="Hyperlink"/>
          </w:rPr>
          <w:t xml:space="preserve">Kundensegmente und Personas</w:t>
        </w:r>
      </w:hyperlink>
    </w:p>
    <w:p>
      <w:pPr>
        <w:numPr>
          <w:ilvl w:val="0"/>
          <w:numId w:val="1002"/>
        </w:numPr>
        <w:pStyle w:val="Compact"/>
      </w:pPr>
      <w:hyperlink w:anchor="Xcbe68cd49071409708f7315988f59c36b1885d1">
        <w:r>
          <w:rPr>
            <w:rStyle w:val="Hyperlink"/>
          </w:rPr>
          <w:t xml:space="preserve">Modellspezifikation</w:t>
        </w:r>
      </w:hyperlink>
    </w:p>
    <w:p>
      <w:pPr>
        <w:numPr>
          <w:ilvl w:val="0"/>
          <w:numId w:val="1002"/>
        </w:numPr>
        <w:pStyle w:val="Compact"/>
      </w:pPr>
      <w:hyperlink w:anchor="Xcea46c2640a303adb6803878d0f181f8eb78e99">
        <w:r>
          <w:rPr>
            <w:rStyle w:val="Hyperlink"/>
          </w:rPr>
          <w:t xml:space="preserve">Parametrisierung und Validierung</w:t>
        </w:r>
      </w:hyperlink>
    </w:p>
    <w:p>
      <w:pPr>
        <w:numPr>
          <w:ilvl w:val="0"/>
          <w:numId w:val="1002"/>
        </w:numPr>
        <w:pStyle w:val="Compact"/>
      </w:pPr>
      <w:hyperlink w:anchor="X9cb7c92b61f8374e61f4e86f8bf2f290073e0d4">
        <w:r>
          <w:rPr>
            <w:rStyle w:val="Hyperlink"/>
          </w:rPr>
          <w:t xml:space="preserve">Ergebnisse: Activation Score Analyse</w:t>
        </w:r>
      </w:hyperlink>
    </w:p>
    <w:p>
      <w:pPr>
        <w:numPr>
          <w:ilvl w:val="0"/>
          <w:numId w:val="1002"/>
        </w:numPr>
        <w:pStyle w:val="Compact"/>
      </w:pPr>
      <w:hyperlink w:anchor="Xbc60f71ed7cf851e9eb6e2f72dd114987acc04d">
        <w:r>
          <w:rPr>
            <w:rStyle w:val="Hyperlink"/>
          </w:rPr>
          <w:t xml:space="preserve">Szenario-Analyse</w:t>
        </w:r>
      </w:hyperlink>
    </w:p>
    <w:p>
      <w:pPr>
        <w:numPr>
          <w:ilvl w:val="0"/>
          <w:numId w:val="1002"/>
        </w:numPr>
        <w:pStyle w:val="Compact"/>
      </w:pPr>
      <w:hyperlink w:anchor="Xbbf222c7706d618b15f0fba8dff3606cc9640f0">
        <w:r>
          <w:rPr>
            <w:rStyle w:val="Hyperlink"/>
          </w:rPr>
          <w:t xml:space="preserve">Wettbewerbs-Benchmarks</w:t>
        </w:r>
      </w:hyperlink>
    </w:p>
    <w:p>
      <w:pPr>
        <w:numPr>
          <w:ilvl w:val="0"/>
          <w:numId w:val="1002"/>
        </w:numPr>
        <w:pStyle w:val="Compact"/>
      </w:pPr>
      <w:hyperlink w:anchor="X09b824e640204d9635b9408505be5b62485e3a7">
        <w:r>
          <w:rPr>
            <w:rStyle w:val="Hyperlink"/>
          </w:rPr>
          <w:t xml:space="preserve">Interventions-Design</w:t>
        </w:r>
      </w:hyperlink>
    </w:p>
    <w:p>
      <w:pPr>
        <w:numPr>
          <w:ilvl w:val="0"/>
          <w:numId w:val="1002"/>
        </w:numPr>
        <w:pStyle w:val="Compact"/>
      </w:pPr>
      <w:hyperlink w:anchor="Xdbbeb8dc614177aaa209d5adc04fdae73023cc6">
        <w:r>
          <w:rPr>
            <w:rStyle w:val="Hyperlink"/>
          </w:rPr>
          <w:t xml:space="preserve">Roadmap Q1-Q4 2026</w:t>
        </w:r>
      </w:hyperlink>
    </w:p>
    <w:p>
      <w:pPr>
        <w:numPr>
          <w:ilvl w:val="0"/>
          <w:numId w:val="1002"/>
        </w:numPr>
        <w:pStyle w:val="Compact"/>
      </w:pPr>
      <w:hyperlink w:anchor="X53eeca59ab53e005e2b5ebca5c18f97dcb8ae31">
        <w:r>
          <w:rPr>
            <w:rStyle w:val="Hyperlink"/>
          </w:rPr>
          <w:t xml:space="preserve">Budget und ROI</w:t>
        </w:r>
      </w:hyperlink>
    </w:p>
    <w:p>
      <w:pPr>
        <w:numPr>
          <w:ilvl w:val="0"/>
          <w:numId w:val="1002"/>
        </w:numPr>
        <w:pStyle w:val="Compact"/>
      </w:pPr>
      <w:hyperlink w:anchor="Xf378d362d3f25af4d2b1c4b2d1d39937783a78d">
        <w:r>
          <w:rPr>
            <w:rStyle w:val="Hyperlink"/>
          </w:rPr>
          <w:t xml:space="preserve">Risiken und Crowding-Out</w:t>
        </w:r>
      </w:hyperlink>
    </w:p>
    <w:p>
      <w:pPr>
        <w:numPr>
          <w:ilvl w:val="0"/>
          <w:numId w:val="1002"/>
        </w:numPr>
        <w:pStyle w:val="Compact"/>
      </w:pPr>
      <w:hyperlink w:anchor="X8dc32f4041095895257bfa4e06b077b4d083394">
        <w:r>
          <w:rPr>
            <w:rStyle w:val="Hyperlink"/>
          </w:rPr>
          <w:t xml:space="preserve">KPIs und Erfolgsmessung</w:t>
        </w:r>
      </w:hyperlink>
    </w:p>
    <w:p>
      <w:pPr>
        <w:numPr>
          <w:ilvl w:val="0"/>
          <w:numId w:val="1002"/>
        </w:numPr>
        <w:pStyle w:val="Compact"/>
      </w:pPr>
      <w:hyperlink w:anchor="X01631da14c28bd49e8ef985623615c317cf73d7">
        <w:r>
          <w:rPr>
            <w:rStyle w:val="Hyperlink"/>
          </w:rPr>
          <w:t xml:space="preserve">Schlussfolgerungen und Empfehlungen</w:t>
        </w:r>
      </w:hyperlink>
    </w:p>
    <w:p>
      <w:pPr>
        <w:numPr>
          <w:ilvl w:val="0"/>
          <w:numId w:val="1002"/>
        </w:numPr>
        <w:pStyle w:val="Compact"/>
      </w:pPr>
      <w:hyperlink w:anchor="anhang-a">
        <w:r>
          <w:rPr>
            <w:rStyle w:val="Hyperlink"/>
          </w:rPr>
          <w:t xml:space="preserve">Anhang A: Parameter-Tabellen</w:t>
        </w:r>
      </w:hyperlink>
    </w:p>
    <w:p>
      <w:pPr>
        <w:numPr>
          <w:ilvl w:val="0"/>
          <w:numId w:val="1002"/>
        </w:numPr>
        <w:pStyle w:val="Compact"/>
      </w:pPr>
      <w:hyperlink w:anchor="anhang-b">
        <w:r>
          <w:rPr>
            <w:rStyle w:val="Hyperlink"/>
          </w:rPr>
          <w:t xml:space="preserve">Anhang B: Monte Carlo Ergebnisse</w:t>
        </w:r>
      </w:hyperlink>
    </w:p>
    <w:p>
      <w:pPr>
        <w:numPr>
          <w:ilvl w:val="0"/>
          <w:numId w:val="1002"/>
        </w:numPr>
        <w:pStyle w:val="Compact"/>
      </w:pPr>
      <w:hyperlink w:anchor="anhang-c">
        <w:r>
          <w:rPr>
            <w:rStyle w:val="Hyperlink"/>
          </w:rPr>
          <w:t xml:space="preserve">Anhang C: BCM2 Kontext-Faktoren</w:t>
        </w:r>
      </w:hyperlink>
    </w:p>
    <w:p>
      <w:pPr>
        <w:numPr>
          <w:ilvl w:val="0"/>
          <w:numId w:val="1002"/>
        </w:numPr>
        <w:pStyle w:val="Compact"/>
      </w:pPr>
      <w:hyperlink w:anchor="anhang-d">
        <w:r>
          <w:rPr>
            <w:rStyle w:val="Hyperlink"/>
          </w:rPr>
          <w:t xml:space="preserve">Anhang D: Literaturverzeichnis</w:t>
        </w:r>
      </w:hyperlink>
    </w:p>
    <w:p>
      <w:pPr>
        <w:numPr>
          <w:ilvl w:val="0"/>
          <w:numId w:val="1002"/>
        </w:numPr>
        <w:pStyle w:val="Compact"/>
      </w:pPr>
      <w:hyperlink w:anchor="anhang-e">
        <w:r>
          <w:rPr>
            <w:rStyle w:val="Hyperlink"/>
          </w:rPr>
          <w:t xml:space="preserve">Anhang E: Methodik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7" w:name="einleitung-und-fragestellung"/>
    <w:p>
      <w:pPr>
        <w:pStyle w:val="Heading2"/>
      </w:pPr>
      <w:r>
        <w:t xml:space="preserve">1. Einleitung und Fragestellung</w:t>
      </w:r>
    </w:p>
    <w:bookmarkStart w:id="23" w:name="ausgangslage"/>
    <w:p>
      <w:pPr>
        <w:pStyle w:val="Heading3"/>
      </w:pPr>
      <w:r>
        <w:t xml:space="preserve">1.1 Ausgangslage</w:t>
      </w:r>
    </w:p>
    <w:p>
      <w:pPr>
        <w:pStyle w:val="FirstParagraph"/>
      </w:pPr>
      <w:r>
        <w:t xml:space="preserve">Die UBS hat mit der Übernahme der Credit Suisse im Juni 2023 die grösste Banken-Integration der Schweizer Geschichte eingeleitet. Zum Zeitpunkt dieser Analyse (Februar 2026) ist die Migration zu 75% abgeschlossen, mit 1+ Million migrierter Credit-Suisse-Kund:innen.</w:t>
      </w:r>
    </w:p>
    <w:p>
      <w:pPr>
        <w:pStyle w:val="BodyText"/>
      </w:pPr>
      <w:r>
        <w:t xml:space="preserve">Die Herausforderungen sind vielschichtig: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3.7 Millionen Schweizer Kund:innen</w:t>
      </w:r>
      <w:r>
        <w:t xml:space="preserve"> </w:t>
      </w:r>
      <w:r>
        <w:t xml:space="preserve">müssen aktiviert werden (Invest-Penetration: nur 5%)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 Million Ex-CS-Kund:innen</w:t>
      </w:r>
      <w:r>
        <w:t xml:space="preserve"> </w:t>
      </w:r>
      <w:r>
        <w:t xml:space="preserve">haben eine Vertrauenslücke (τ_Benevolence = 0.45 vs. Legacy 0.70)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800’000 Digital-Only-Kund:innen</w:t>
      </w:r>
      <w:r>
        <w:t xml:space="preserve"> </w:t>
      </w:r>
      <w:r>
        <w:t xml:space="preserve">drohen an Neobanks zu verlieren (Churn-Risiko 25-35%)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Cost-to-Income Ratio</w:t>
      </w:r>
      <w:r>
        <w:t xml:space="preserve"> </w:t>
      </w:r>
      <w:r>
        <w:t xml:space="preserve">muss von 78% auf 70% sinken (≈ USD 1.4 Mrd. Einsparung)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SIX bLink</w:t>
      </w:r>
      <w:r>
        <w:t xml:space="preserve"> </w:t>
      </w:r>
      <w:r>
        <w:t xml:space="preserve">(Open Banking, November 2025) senkt die Wechselkosten für alle Kund:innen</w:t>
      </w:r>
    </w:p>
    <w:bookmarkEnd w:id="23"/>
    <w:bookmarkStart w:id="24" w:name="zentrale-fragen"/>
    <w:p>
      <w:pPr>
        <w:pStyle w:val="Heading3"/>
      </w:pPr>
      <w:r>
        <w:t xml:space="preserve">1.2 Zentrale Fragen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308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hoch ist das Activation-Potenzial pro Segment?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MOD-UBS-GMA-001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schnell und wodurch erholt sich das Vertrauen bei Ex-CS?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M3: Trust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viele Kund:innen verlieren wir an Neobanks/BigTech?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M1: Competitive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verteilen wir das Budget optimal auf Segmente × Module?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M2: Budget Allocation</w:t>
            </w:r>
          </w:p>
        </w:tc>
      </w:tr>
    </w:tbl>
    <w:bookmarkEnd w:id="24"/>
    <w:bookmarkStart w:id="25" w:name="methodik"/>
    <w:p>
      <w:pPr>
        <w:pStyle w:val="Heading3"/>
      </w:pPr>
      <w:r>
        <w:t xml:space="preserve">1.3 Methodik</w:t>
      </w:r>
    </w:p>
    <w:p>
      <w:pPr>
        <w:pStyle w:val="FirstParagraph"/>
      </w:pPr>
      <w:r>
        <w:t xml:space="preserve">Die Analyse folgt dem EBF-Workflow (Evidence-Based Framework for Economic and Social Behavior):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Kontextanalyse</w:t>
      </w:r>
      <w:r>
        <w:t xml:space="preserve"> </w:t>
      </w:r>
      <w:r>
        <w:t xml:space="preserve">— 8 Ψ-Dimensionen mit BCM2-Datenbank (60+ validierte Faktoren)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Modellspezifikation</w:t>
      </w:r>
      <w:r>
        <w:t xml:space="preserve"> </w:t>
      </w:r>
      <w:r>
        <w:t xml:space="preserve">— 4 integrierte Verhaltensmodelle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Parametrisierung</w:t>
      </w:r>
      <w:r>
        <w:t xml:space="preserve"> </w:t>
      </w:r>
      <w:r>
        <w:t xml:space="preserve">— LLMMC Prior + Bayesian Posterior + Monte Carlo (10k Draws)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Analyse</w:t>
      </w:r>
      <w:r>
        <w:t xml:space="preserve"> </w:t>
      </w:r>
      <w:r>
        <w:t xml:space="preserve">— Szenario-Vergleich (Best/Expected/Worst) + Sensitivität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Interventions-Design</w:t>
      </w:r>
      <w:r>
        <w:t xml:space="preserve"> </w:t>
      </w:r>
      <w:r>
        <w:t xml:space="preserve">— 4 No-Regret Moves + Quarterly Roadmap</w:t>
      </w:r>
    </w:p>
    <w:bookmarkEnd w:id="25"/>
    <w:bookmarkStart w:id="26" w:name="datengrundlagen"/>
    <w:p>
      <w:pPr>
        <w:pStyle w:val="Heading3"/>
      </w:pPr>
      <w:r>
        <w:t xml:space="preserve">1.4 Datengrundlagen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Verwendung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BCM2-Kontextdatenbank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Schweizer Kontext-Faktoren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Makro-Parameter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UBS Kundendaten (anonymisiert)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350-Faktor Context 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Segment-Parameter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Group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Personas, 3 Segmente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Mikro-Verhalten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Wissenschaftliche Literatur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85+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Parameter-Validierung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EBF Theory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relevante Theorien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Modell-Fundierung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Wettbewerbs-Profile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Banken (Raiff, ZKB, PostFin, Migros, JB, Revolut)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8" w:name="kontextanalyse"/>
    <w:p>
      <w:pPr>
        <w:pStyle w:val="Heading2"/>
      </w:pPr>
      <w:r>
        <w:t xml:space="preserve">2. Kontextanalyse</w:t>
      </w:r>
    </w:p>
    <w:bookmarkStart w:id="36" w:name="die-8-ψ-dimensionen"/>
    <w:p>
      <w:pPr>
        <w:pStyle w:val="Heading3"/>
      </w:pPr>
      <w:r>
        <w:t xml:space="preserve">2.1 Die 8 Ψ-Dimensionen</w:t>
      </w:r>
    </w:p>
    <w:p>
      <w:pPr>
        <w:pStyle w:val="FirstParagraph"/>
      </w:pPr>
      <w:r>
        <w:t xml:space="preserve">Das EBF analysiert jede Situation anhand von 8 Kontext-Dimensionen. Für die UBS Growth Marketing Activation sind alle 8 Dimensionen relevant:</w:t>
      </w:r>
    </w:p>
    <w:bookmarkStart w:id="28" w:name="ψ_i-institutionelle-regeln"/>
    <w:p>
      <w:pPr>
        <w:pStyle w:val="Heading4"/>
      </w:pPr>
      <w:r>
        <w:t xml:space="preserve">Ψ_I — Institutionelle Regeln</w:t>
      </w:r>
    </w:p>
    <w:p>
      <w:pPr>
        <w:pStyle w:val="FirstParagraph"/>
      </w:pPr>
      <w:r>
        <w:t xml:space="preserve">Die UBS operiert in einem der am stärksten regulierten Umfelder weltweit: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G-SIB-Status</w:t>
      </w:r>
      <w:r>
        <w:t xml:space="preserve"> </w:t>
      </w:r>
      <w:r>
        <w:t xml:space="preserve">(Global Systemically Important Bank) mit verschärften Kapitalanforderungen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FINMA-Aufsicht</w:t>
      </w:r>
      <w:r>
        <w:t xml:space="preserve"> </w:t>
      </w:r>
      <w:r>
        <w:t xml:space="preserve">mit spezifischen Anforderungen an Kundenkommunikation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Too Big To Fail</w:t>
      </w:r>
      <w:r>
        <w:t xml:space="preserve"> </w:t>
      </w:r>
      <w:r>
        <w:t xml:space="preserve">Doktrin (TBTF) — begrenzt Risikobereitschaft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PSD2/PSD3</w:t>
      </w:r>
      <w:r>
        <w:t xml:space="preserve"> </w:t>
      </w:r>
      <w:r>
        <w:t xml:space="preserve">(Payment Services Directive) — ermöglicht Open Banking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SIX bLink</w:t>
      </w:r>
      <w:r>
        <w:t xml:space="preserve"> </w:t>
      </w:r>
      <w:r>
        <w:t xml:space="preserve">— Multibanking-Plattform ab November 2025</w:t>
      </w:r>
    </w:p>
    <w:p>
      <w:pPr>
        <w:pStyle w:val="FirstParagraph"/>
      </w:pPr>
      <w:r>
        <w:rPr>
          <w:bCs/>
          <w:b/>
        </w:rPr>
        <w:t xml:space="preserve">EBF-Implikation:</w:t>
      </w:r>
      <w:r>
        <w:t xml:space="preserve"> </w:t>
      </w:r>
      <w:r>
        <w:t xml:space="preserve">Regulierung ist nicht nur Constraint, sondern auch Vertrauensressource. Regulierte Banken geniessen höheres Grundvertrauen als Neobanks (τ_regulated = 0.75 vs. τ_neobank = 0.55).</w:t>
      </w:r>
    </w:p>
    <w:bookmarkEnd w:id="28"/>
    <w:bookmarkStart w:id="29" w:name="ψ_s-soziale-struktur"/>
    <w:p>
      <w:pPr>
        <w:pStyle w:val="Heading4"/>
      </w:pPr>
      <w:r>
        <w:t xml:space="preserve">Ψ_S — Soziale Struktur</w:t>
      </w:r>
    </w:p>
    <w:p>
      <w:pPr>
        <w:pStyle w:val="FirstParagraph"/>
      </w:pPr>
      <w:r>
        <w:t xml:space="preserve">Die UBS-Kundschaft umfasst 4 distinkte Segmente mit radikal unterschiedlichen sozialen Kontexten: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111"/>
        <w:gridCol w:w="2640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Grösse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Soziale 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Verhaltens-Dominante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Etablierte Bankbeziehung, hohe Identifikation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Status, Gewohnheit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Ex-CS Migriert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Erzwungener Wechsel, Unsicherheit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Vertrauensverlust, Identitätskrise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App-natives Verhalten, schwache Bindung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UX, Convenience, Social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Affluent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Premium-Erwartung, RM-Beziehung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Personalisierung, Prestige</w:t>
            </w:r>
          </w:p>
        </w:tc>
      </w:tr>
    </w:tbl>
    <w:bookmarkEnd w:id="29"/>
    <w:bookmarkStart w:id="30" w:name="ψ_c-kognitiver-zustand"/>
    <w:p>
      <w:pPr>
        <w:pStyle w:val="Heading4"/>
      </w:pPr>
      <w:r>
        <w:t xml:space="preserve">Ψ_C — Kognitiver Zustand</w:t>
      </w:r>
    </w:p>
    <w:p>
      <w:pPr>
        <w:pStyle w:val="FirstParagraph"/>
      </w:pPr>
      <w:r>
        <w:t xml:space="preserve">Die verhaltensökonomischen Parameter variieren dramatisch über Segmente und Situationen: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Loss Aversion (λ):</w:t>
      </w:r>
      <w:r>
        <w:t xml:space="preserve"> </w:t>
      </w:r>
      <w:r>
        <w:t xml:space="preserve">1.6 (Digital-Only, jung) bis 3.4 (Peter, Handwerker, nie investiert)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Present Bias (β):</w:t>
      </w:r>
      <w:r>
        <w:t xml:space="preserve"> </w:t>
      </w:r>
      <w:r>
        <w:t xml:space="preserve">0.60 (Julia, 28, YOLO) bis 0.88 (Thomas, 58, Pensionsplanung)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Trust (τ):</w:t>
      </w:r>
      <w:r>
        <w:t xml:space="preserve"> </w:t>
      </w:r>
      <w:r>
        <w:t xml:space="preserve">0.30 (Marco, Swissquote-Nutzer) bis 0.85 (Legacy UBS)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Default Sensitivity (κ):</w:t>
      </w:r>
      <w:r>
        <w:t xml:space="preserve"> </w:t>
      </w:r>
      <w:r>
        <w:t xml:space="preserve">0.40 (Marco, aktiver Entscheider) bis 0.90 (Peter, Gewohnheitstier)</w:t>
      </w:r>
    </w:p>
    <w:p>
      <w:pPr>
        <w:pStyle w:val="FirstParagraph"/>
      </w:pPr>
      <w:r>
        <w:rPr>
          <w:bCs/>
          <w:b/>
        </w:rPr>
        <w:t xml:space="preserve">Kritische Erkenntnis:</w:t>
      </w:r>
      <w:r>
        <w:t xml:space="preserve"> </w:t>
      </w:r>
      <w:r>
        <w:t xml:space="preserve">Im Stresszustand (Marktkrise, Deadline) verschieben sich Parameter dramatisch: λ_Krise = 3.0-4.0, β_Stress = 0.40-0.60. Defaults werden dann zu 95-98% beibehalten.</w:t>
      </w:r>
    </w:p>
    <w:bookmarkEnd w:id="30"/>
    <w:bookmarkStart w:id="31" w:name="ψ_k-kulturelle-werte"/>
    <w:p>
      <w:pPr>
        <w:pStyle w:val="Heading4"/>
      </w:pPr>
      <w:r>
        <w:t xml:space="preserve">Ψ_K — Kulturelle Werte</w:t>
      </w:r>
    </w:p>
    <w:p>
      <w:pPr>
        <w:pStyle w:val="FirstParagraph"/>
      </w:pPr>
      <w:r>
        <w:t xml:space="preserve">Schweizer Bankkultur hat spezifische Eigenheiten, die direkt auf Verhaltensparameter wirken: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Eigentumskonzept (CH-REG-06):</w:t>
      </w:r>
      <w:r>
        <w:t xml:space="preserve"> </w:t>
      </w:r>
      <w:r>
        <w:t xml:space="preserve">DE-CH = 0.78 → überdurchschnittlich hohe Loss Aversion bei Vermögensthemen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Default-Compliance (CH-REG-08):</w:t>
      </w:r>
      <w:r>
        <w:t xml:space="preserve"> </w:t>
      </w:r>
      <w:r>
        <w:t xml:space="preserve">0.82-0.88 → Schweizer:innen bleiben bei Defaults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Soziale Normen (CH-REG-09):</w:t>
      </w:r>
      <w:r>
        <w:t xml:space="preserve"> </w:t>
      </w:r>
      <w:r>
        <w:t xml:space="preserve">DE-CH = 0.78, FR-CH = 0.68 → regionale Heterogenität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Diskretion:</w:t>
      </w:r>
      <w:r>
        <w:t xml:space="preserve"> </w:t>
      </w:r>
      <w:r>
        <w:t xml:space="preserve">Bankgeheimnis-Tradition → implizites Vertrauen, aber auch Informationsresistenz</w:t>
      </w:r>
    </w:p>
    <w:p>
      <w:pPr>
        <w:pStyle w:val="FirstParagraph"/>
      </w:pPr>
      <w:r>
        <w:rPr>
          <w:bCs/>
          <w:b/>
        </w:rPr>
        <w:t xml:space="preserve">Regionale Differenzierung:</w:t>
      </w:r>
      <w:r>
        <w:t xml:space="preserve"> </w:t>
      </w:r>
      <w:r>
        <w:t xml:space="preserve">Durchgängig +10 Prozentpunkte bei κ, σ und λ_property in der Deutschschweiz gegenüber der Romandie. Dies erfordert regionalisierte Interventionen.</w:t>
      </w:r>
    </w:p>
    <w:bookmarkEnd w:id="31"/>
    <w:bookmarkStart w:id="32" w:name="ψ_e-ökonomische-ressourcen"/>
    <w:p>
      <w:pPr>
        <w:pStyle w:val="Heading4"/>
      </w:pPr>
      <w:r>
        <w:t xml:space="preserve">Ψ_E — Ökonomische Ressourcen</w:t>
      </w:r>
    </w:p>
    <w:p>
      <w:pPr>
        <w:pStyle w:val="FirstParagraph"/>
      </w:pPr>
      <w:r>
        <w:t xml:space="preserve">Die UBS-Finanzlage ist geprägt von Wachstum bei gleichzeitigem Effizienzmandat: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Revenue:</w:t>
      </w:r>
      <w:r>
        <w:t xml:space="preserve"> </w:t>
      </w:r>
      <w:r>
        <w:t xml:space="preserve">USD 47.5 Mrd. (+31% YoY) — Wachstum finanziert strategische Investitionen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Cost-to-Income:</w:t>
      </w:r>
      <w:r>
        <w:t xml:space="preserve"> </w:t>
      </w:r>
      <w:r>
        <w:t xml:space="preserve">78% (Ziel: 70% bis 2026) — erfordert USD 1.4 Mrd. Einsparung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Marketing Budget:</w:t>
      </w:r>
      <w:r>
        <w:t xml:space="preserve"> </w:t>
      </w:r>
      <w:r>
        <w:t xml:space="preserve">geschätzt CHF 280-570 Mio. (2-4% Non-Personnel Costs)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IT/Digital:</w:t>
      </w:r>
      <w:r>
        <w:t xml:space="preserve"> </w:t>
      </w:r>
      <w:r>
        <w:t xml:space="preserve">USD 6.5 Mrd. — grösster Nicht-Personalposten, Marketing-Tech profitiert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CS-Synergien:</w:t>
      </w:r>
      <w:r>
        <w:t xml:space="preserve"> </w:t>
      </w:r>
      <w:r>
        <w:t xml:space="preserve">65% erreicht (USD 8.5 Mrd. von 13 Mrd. Ziel)</w:t>
      </w:r>
    </w:p>
    <w:p>
      <w:pPr>
        <w:pStyle w:val="FirstParagraph"/>
      </w:pPr>
      <w:r>
        <w:rPr>
          <w:bCs/>
          <w:b/>
        </w:rPr>
        <w:t xml:space="preserve">Implikation:</w:t>
      </w:r>
      <w:r>
        <w:t xml:space="preserve"> </w:t>
      </w:r>
      <w:r>
        <w:t xml:space="preserve">Budget ist constrained aber strategisch. Jeder Marketing-Franken braucht ROI-Nachweis. Behavioral Marketing hat Vorteil: hoher Impact bei niedrigen Kosten.</w:t>
      </w:r>
    </w:p>
    <w:bookmarkEnd w:id="32"/>
    <w:bookmarkStart w:id="33" w:name="ψ_t-zeitlicher-kontext"/>
    <w:p>
      <w:pPr>
        <w:pStyle w:val="Heading4"/>
      </w:pPr>
      <w:r>
        <w:t xml:space="preserve">Ψ_T — Zeitlicher Kontext</w:t>
      </w:r>
    </w:p>
    <w:p>
      <w:pPr>
        <w:pStyle w:val="FirstParagraph"/>
      </w:pPr>
      <w:r>
        <w:t xml:space="preserve">Mehrere Zeitachsen konvergieren: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CS-Integration:</w:t>
      </w:r>
      <w:r>
        <w:t xml:space="preserve"> </w:t>
      </w:r>
      <w:r>
        <w:t xml:space="preserve">75% abgeschlossen, Deadline Ende 2026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Trust Recovery:</w:t>
      </w:r>
      <w:r>
        <w:t xml:space="preserve"> </w:t>
      </w:r>
      <w:r>
        <w:t xml:space="preserve">15-18 Monate benötigt (bei null Fehlern)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SIX bLink:</w:t>
      </w:r>
      <w:r>
        <w:t xml:space="preserve"> </w:t>
      </w:r>
      <w:r>
        <w:t xml:space="preserve">Ab November 2025 — senkt Wechselkosten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3a-Deadline:</w:t>
      </w:r>
      <w:r>
        <w:t xml:space="preserve"> </w:t>
      </w:r>
      <w:r>
        <w:t xml:space="preserve">Jährlich im Dezember — stärkster einzelner Aktivierungstrigger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Generelles Vertrauen:</w:t>
      </w:r>
      <w:r>
        <w:t xml:space="preserve"> </w:t>
      </w:r>
      <w:r>
        <w:t xml:space="preserve">Fallend (von 6.0/10 in 2024 auf prognostiziert 4.8/10 in 2040)</w:t>
      </w:r>
    </w:p>
    <w:p>
      <w:pPr>
        <w:pStyle w:val="FirstParagraph"/>
      </w:pPr>
      <w:r>
        <w:rPr>
          <w:bCs/>
          <w:b/>
        </w:rPr>
        <w:t xml:space="preserve">Kritische Zeitfenster: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Jetzt bis Q2 2026:</w:t>
      </w:r>
      <w:r>
        <w:t xml:space="preserve"> </w:t>
      </w:r>
      <w:r>
        <w:t xml:space="preserve">Trust Recovery muss starten BEVOR bLink live geht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November-Januar:</w:t>
      </w:r>
      <w:r>
        <w:t xml:space="preserve"> </w:t>
      </w:r>
      <w:r>
        <w:t xml:space="preserve">Jährlicher PEAK (3a + Bonus + 13. Monatslohn)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2026 als Ganzes:</w:t>
      </w:r>
      <w:r>
        <w:t xml:space="preserve"> </w:t>
      </w:r>
      <w:r>
        <w:t xml:space="preserve">Make-or-Break Jahr für Post-CS-Integration</w:t>
      </w:r>
    </w:p>
    <w:bookmarkEnd w:id="33"/>
    <w:bookmarkStart w:id="34" w:name="ψ_m-technologische-tools"/>
    <w:p>
      <w:pPr>
        <w:pStyle w:val="Heading4"/>
      </w:pPr>
      <w:r>
        <w:t xml:space="preserve">Ψ_M — Technologische Tools</w:t>
      </w:r>
    </w:p>
    <w:p>
      <w:pPr>
        <w:pStyle w:val="FirstParagraph"/>
      </w:pPr>
      <w:r>
        <w:t xml:space="preserve">Die UBS-Infrastruktur umfasst: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200 Filialen</w:t>
      </w:r>
      <w:r>
        <w:t xml:space="preserve"> </w:t>
      </w:r>
      <w:r>
        <w:t xml:space="preserve">(konsolidiert von 285, Ziel ~190) — physische Präsenz abnehmend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78% Digital Active</w:t>
      </w:r>
      <w:r>
        <w:t xml:space="preserve"> </w:t>
      </w:r>
      <w:r>
        <w:t xml:space="preserve">— hohe digitale Durchdringung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65% Mobile Banking</w:t>
      </w:r>
      <w:r>
        <w:t xml:space="preserve"> </w:t>
      </w:r>
      <w:r>
        <w:t xml:space="preserve">— Hauptkanal für Retail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25 Digital-Only Produkte</w:t>
      </w:r>
      <w:r>
        <w:t xml:space="preserve"> </w:t>
      </w:r>
      <w:r>
        <w:t xml:space="preserve">— reines Online-Angebot wachsend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300+ AI Use Cases</w:t>
      </w:r>
      <w:r>
        <w:t xml:space="preserve"> </w:t>
      </w:r>
      <w:r>
        <w:t xml:space="preserve">— inkl. Next-Best-Action Engine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Next-Best-Action Engine</w:t>
      </w:r>
      <w:r>
        <w:t xml:space="preserve"> </w:t>
      </w:r>
      <w:r>
        <w:t xml:space="preserve">deployed — Personalisierung möglich</w:t>
      </w:r>
    </w:p>
    <w:p>
      <w:pPr>
        <w:pStyle w:val="FirstParagraph"/>
      </w:pPr>
      <w:r>
        <w:rPr>
          <w:bCs/>
          <w:b/>
        </w:rPr>
        <w:t xml:space="preserve">UX-Gap:</w:t>
      </w:r>
      <w:r>
        <w:t xml:space="preserve"> </w:t>
      </w:r>
      <w:r>
        <w:t xml:space="preserve">App-Friction Score 0.60 vs. Revolut ~0.15. Der Investment-Einstieg erfordert 7 Taps (Revolut: 2 Taps). Dies ist der grösste technische Hebel.</w:t>
      </w:r>
    </w:p>
    <w:bookmarkEnd w:id="34"/>
    <w:bookmarkStart w:id="35" w:name="ψ_f-physischer-kontext"/>
    <w:p>
      <w:pPr>
        <w:pStyle w:val="Heading4"/>
      </w:pPr>
      <w:r>
        <w:t xml:space="preserve">Ψ_F — Physischer Kontext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Schweiz-Fokus:</w:t>
      </w:r>
      <w:r>
        <w:t xml:space="preserve"> </w:t>
      </w:r>
      <w:r>
        <w:t xml:space="preserve">12% des Gruppen-Revenues, aber strategischer Anker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Omnichannel:</w:t>
      </w:r>
      <w:r>
        <w:t xml:space="preserve"> </w:t>
      </w:r>
      <w:r>
        <w:t xml:space="preserve">Branch + App + Web + RM — unterschiedliche Conversion-Raten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RM-Kanal:</w:t>
      </w:r>
      <w:r>
        <w:t xml:space="preserve"> </w:t>
      </w:r>
      <w:r>
        <w:t xml:space="preserve">3.5× höhere Conversion als Digital — aber skaliert nicht bei 3.5M Kund:innen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Global:</w:t>
      </w:r>
      <w:r>
        <w:t xml:space="preserve"> </w:t>
      </w:r>
      <w:r>
        <w:t xml:space="preserve">52 Länder, 6 Booking Centers — Wealth Management als Haupttreiber</w:t>
      </w:r>
    </w:p>
    <w:bookmarkEnd w:id="35"/>
    <w:bookmarkEnd w:id="36"/>
    <w:bookmarkStart w:id="37" w:name="kontext-synthese"/>
    <w:p>
      <w:pPr>
        <w:pStyle w:val="Heading3"/>
      </w:pPr>
      <w:r>
        <w:t xml:space="preserve">2.2 Kontext-Synthese</w:t>
      </w:r>
    </w:p>
    <w:p>
      <w:pPr>
        <w:pStyle w:val="FirstParagraph"/>
      </w:pPr>
      <w:r>
        <w:t xml:space="preserve">Die 8 Dimensionen interagieren. Die wichtigsten Interaktionen für die UBS-Situation: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28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Implikation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Ψ_E (Budget) × Ψ_S (Segmente)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alle 3.7M gleich behandeln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ROI-Priorisierung zwingend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Ψ_M (bLink) × Ψ_S (Digital-Only)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Switching Costs sinken um ~30%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Time-to-Activate kritisch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Ψ_C (Trust-Gap) × Ψ_T (Integration)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Recovery parallel zur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Fehlerfreiheit existenziell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Ψ_K (Regional) × Ψ_I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DE-CH vs. FR-CH: 10pp Differenz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Regionalisierte Interventionen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53" w:name="kundensegmente-und-personas"/>
    <w:p>
      <w:pPr>
        <w:pStyle w:val="Heading2"/>
      </w:pPr>
      <w:r>
        <w:t xml:space="preserve">3. Kundensegmente und Personas</w:t>
      </w:r>
    </w:p>
    <w:bookmarkStart w:id="43" w:name="die-4-segmente-im-überblick"/>
    <w:p>
      <w:pPr>
        <w:pStyle w:val="Heading3"/>
      </w:pPr>
      <w:r>
        <w:t xml:space="preserve">3.1 Die 4 Segmente im Überblick</w:t>
      </w:r>
    </w:p>
    <w:bookmarkStart w:id="39" w:name="segment-1-legacy-ubs-1.5-millionen"/>
    <w:p>
      <w:pPr>
        <w:pStyle w:val="Heading4"/>
      </w:pPr>
      <w:r>
        <w:t xml:space="preserve">Segment 1: Legacy UBS (1.5 Millionen)</w:t>
      </w:r>
    </w:p>
    <w:p>
      <w:pPr>
        <w:pStyle w:val="FirstParagraph"/>
      </w:pPr>
      <w:r>
        <w:rPr>
          <w:bCs/>
          <w:b/>
        </w:rPr>
        <w:t xml:space="preserve">Profil:</w:t>
      </w:r>
      <w:r>
        <w:t xml:space="preserve"> </w:t>
      </w:r>
      <w:r>
        <w:t xml:space="preserve">Bestehende UBS-Kund:innen mit etablierter Bankbeziehung. Hohe Identifikation mit der Marke (ι = 0.75), überdurchschnittliches Vertrauen (τ = 0.75-0.85), aber niedrige Investment-Penetration (5%).</w:t>
      </w:r>
    </w:p>
    <w:p>
      <w:pPr>
        <w:pStyle w:val="BodyText"/>
      </w:pPr>
      <w:r>
        <w:rPr>
          <w:bCs/>
          <w:b/>
        </w:rPr>
        <w:t xml:space="preserve">Hauptbarriere:</w:t>
      </w:r>
      <w:r>
        <w:t xml:space="preserve"> </w:t>
      </w:r>
      <w:r>
        <w:t xml:space="preserve">Produktkomplexität — nicht fehlendes Vertrauen, sondern fehlende Einfachheit.</w:t>
      </w:r>
    </w:p>
    <w:p>
      <w:pPr>
        <w:pStyle w:val="BodyText"/>
      </w:pPr>
      <w:r>
        <w:rPr>
          <w:bCs/>
          <w:b/>
        </w:rPr>
        <w:t xml:space="preserve">BCJ Journey Stages: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Kennen Anlageoptionen nicht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AWARE_PASSIVE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Kennen, aber kein Interesse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Überlegen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Planen zu handeln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Bereits aktiv investiert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Interventions-Potenzial:</w:t>
      </w:r>
      <w:r>
        <w:t xml:space="preserve"> </w:t>
      </w:r>
      <w:r>
        <w:t xml:space="preserve">MITTEL. Default-Architektur (κ = 0.85) ist der Haupthebel. 45% sitzen in AWARE_PASSIVE fest — klassisches «Intention-Action Gap».</w:t>
      </w:r>
    </w:p>
    <w:bookmarkEnd w:id="39"/>
    <w:bookmarkStart w:id="40" w:name="segment-2-ex-cs-migriert-1-million"/>
    <w:p>
      <w:pPr>
        <w:pStyle w:val="Heading4"/>
      </w:pPr>
      <w:r>
        <w:t xml:space="preserve">Segment 2: Ex-CS Migriert (1 Million)</w:t>
      </w:r>
    </w:p>
    <w:p>
      <w:pPr>
        <w:pStyle w:val="FirstParagraph"/>
      </w:pPr>
      <w:r>
        <w:rPr>
          <w:bCs/>
          <w:b/>
        </w:rPr>
        <w:t xml:space="preserve">Profil:</w:t>
      </w:r>
      <w:r>
        <w:t xml:space="preserve"> </w:t>
      </w:r>
      <w:r>
        <w:t xml:space="preserve">Ehemalige Credit-Suisse-Kund:innen, die 2024 zur UBS migriert wurden. Vertrauensdefizit auf allen 4 Dimensionen, besonders Benevolence (τ_B = 0.45, Gap von -0.30 zu Legacy). Identifizieren sich noch als «CS-Kund:innen» (ι_UBS = 0.40).</w:t>
      </w:r>
    </w:p>
    <w:p>
      <w:pPr>
        <w:pStyle w:val="BodyText"/>
      </w:pPr>
      <w:r>
        <w:rPr>
          <w:bCs/>
          <w:b/>
        </w:rPr>
        <w:t xml:space="preserve">Hauptbarriere:</w:t>
      </w:r>
      <w:r>
        <w:t xml:space="preserve"> </w:t>
      </w:r>
      <w:r>
        <w:t xml:space="preserve">Vertrauenslücke — «Ist UBS auf meiner Seite oder will sie nur verkaufen?»</w:t>
      </w:r>
    </w:p>
    <w:p>
      <w:pPr>
        <w:pStyle w:val="BodyText"/>
      </w:pPr>
      <w:r>
        <w:rPr>
          <w:bCs/>
          <w:b/>
        </w:rPr>
        <w:t xml:space="preserve">Trust-Breakdown: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Recovery-Geschwindigkeit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Schnell (~3 Monate)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 (~7 Monate)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Langsam (~12 Monate)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Benevolence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langsam (~15 Monate)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Revenue at Risk:</w:t>
      </w:r>
      <w:r>
        <w:t xml:space="preserve"> </w:t>
      </w:r>
      <w:r>
        <w:t xml:space="preserve">CHF 500 Mio. im Worst Case (30% Churn bei Trust-Versagen).</w:t>
      </w:r>
    </w:p>
    <w:p>
      <w:pPr>
        <w:pStyle w:val="BodyText"/>
      </w:pPr>
      <w:r>
        <w:rPr>
          <w:bCs/>
          <w:b/>
        </w:rPr>
        <w:t xml:space="preserve">Interventions-Potenzial:</w:t>
      </w:r>
      <w:r>
        <w:t xml:space="preserve"> </w:t>
      </w:r>
      <w:r>
        <w:t xml:space="preserve">HOCH — aber nur bei Trust Recovery. Ohne Vertrauensaufbau sind alle anderen Massnahmen wirkungslos.</w:t>
      </w:r>
    </w:p>
    <w:bookmarkEnd w:id="40"/>
    <w:bookmarkStart w:id="41" w:name="segment-3-digital-only-800000"/>
    <w:p>
      <w:pPr>
        <w:pStyle w:val="Heading4"/>
      </w:pPr>
      <w:r>
        <w:t xml:space="preserve">Segment 3: Digital-Only (800’000)</w:t>
      </w:r>
    </w:p>
    <w:p>
      <w:pPr>
        <w:pStyle w:val="FirstParagraph"/>
      </w:pPr>
      <w:r>
        <w:rPr>
          <w:bCs/>
          <w:b/>
        </w:rPr>
        <w:t xml:space="preserve">Profil:</w:t>
      </w:r>
      <w:r>
        <w:t xml:space="preserve"> </w:t>
      </w:r>
      <w:r>
        <w:t xml:space="preserve">App-native Kund:innen, die primär über Mobile Banking interagieren. Jünger, höhere Present Bias (β = 0.72-0.78), extreme Effort-Sensitivität (ε = 0.80-0.90). Sehr empfänglich für Social Proof (σ_Peers = 0.85).</w:t>
      </w:r>
    </w:p>
    <w:p>
      <w:pPr>
        <w:pStyle w:val="BodyText"/>
      </w:pPr>
      <w:r>
        <w:rPr>
          <w:bCs/>
          <w:b/>
        </w:rPr>
        <w:t xml:space="preserve">Hauptbarriere:</w:t>
      </w:r>
      <w:r>
        <w:t xml:space="preserve"> </w:t>
      </w:r>
      <w:r>
        <w:t xml:space="preserve">App-Friction (0.60) + Awareness-Gap (A_knowledge = 0.25). Sie wissen nicht, DASS sie investieren sollten, und wenn sie es wüssten, wäre der Weg zu kompliziert.</w:t>
      </w:r>
    </w:p>
    <w:p>
      <w:pPr>
        <w:pStyle w:val="BodyText"/>
      </w:pPr>
      <w:r>
        <w:rPr>
          <w:bCs/>
          <w:b/>
        </w:rPr>
        <w:t xml:space="preserve">Churn-Risiko:</w:t>
      </w:r>
      <w:r>
        <w:t xml:space="preserve"> </w:t>
      </w:r>
      <w:r>
        <w:t xml:space="preserve">Höchstes aller Segmente (25-35%, bis 45% nach bLink). Revolut (900k CH-Nutzer) und Neon (222k) bieten bessere UX bei niedrigeren Kosten.</w:t>
      </w:r>
    </w:p>
    <w:p>
      <w:pPr>
        <w:pStyle w:val="BodyText"/>
      </w:pPr>
      <w:r>
        <w:rPr>
          <w:bCs/>
          <w:b/>
        </w:rPr>
        <w:t xml:space="preserve">Interventions-Potenzial:</w:t>
      </w:r>
      <w:r>
        <w:t xml:space="preserve"> </w:t>
      </w:r>
      <w:r>
        <w:t xml:space="preserve">SEHR HOCH. Micro-Learning + App-Friction-Reduktion + Social Proof = Trifecta für Activation.</w:t>
      </w:r>
    </w:p>
    <w:bookmarkEnd w:id="41"/>
    <w:bookmarkStart w:id="42" w:name="segment-4-affluent-400000"/>
    <w:p>
      <w:pPr>
        <w:pStyle w:val="Heading4"/>
      </w:pPr>
      <w:r>
        <w:t xml:space="preserve">Segment 4: Affluent (400’000)</w:t>
      </w:r>
    </w:p>
    <w:p>
      <w:pPr>
        <w:pStyle w:val="FirstParagraph"/>
      </w:pPr>
      <w:r>
        <w:rPr>
          <w:bCs/>
          <w:b/>
        </w:rPr>
        <w:t xml:space="preserve">Profil:</w:t>
      </w:r>
      <w:r>
        <w:t xml:space="preserve"> </w:t>
      </w:r>
      <w:r>
        <w:t xml:space="preserve">CHF 250k-2M Vermögen. Hohe Erwartungen an Personalisierung und Service. RM-Beziehung ist Hauptbindungsfaktor. Status-orientiert (ι = 0.70), niedrige Present Bias (β = 0.85-0.88).</w:t>
      </w:r>
    </w:p>
    <w:p>
      <w:pPr>
        <w:pStyle w:val="BodyText"/>
      </w:pPr>
      <w:r>
        <w:rPr>
          <w:bCs/>
          <w:b/>
        </w:rPr>
        <w:t xml:space="preserve">Hauptbarriere:</w:t>
      </w:r>
      <w:r>
        <w:t xml:space="preserve"> </w:t>
      </w:r>
      <w:r>
        <w:t xml:space="preserve">Nicht Produkt oder Vertrauen, sondern Personalisierungsgrad. Erwarten massgeschneiderte Beratung.</w:t>
      </w:r>
    </w:p>
    <w:p>
      <w:pPr>
        <w:pStyle w:val="BodyText"/>
      </w:pPr>
      <w:r>
        <w:rPr>
          <w:bCs/>
          <w:b/>
        </w:rPr>
        <w:t xml:space="preserve">Interventions-Potenzial:</w:t>
      </w:r>
      <w:r>
        <w:t xml:space="preserve"> </w:t>
      </w:r>
      <w:r>
        <w:t xml:space="preserve">HOCH — primär durch RM×App-Hybrid (Conversion 3.5× vs. Digital allein).</w:t>
      </w:r>
    </w:p>
    <w:bookmarkEnd w:id="42"/>
    <w:bookmarkEnd w:id="43"/>
    <w:bookmarkStart w:id="51" w:name="die-7-personas-focus-group-simulation"/>
    <w:p>
      <w:pPr>
        <w:pStyle w:val="Heading3"/>
      </w:pPr>
      <w:r>
        <w:t xml:space="preserve">3.2 Die 7 Personas (Focus Group Simulation)</w:t>
      </w:r>
    </w:p>
    <w:p>
      <w:pPr>
        <w:pStyle w:val="FirstParagraph"/>
      </w:pPr>
      <w:r>
        <w:t xml:space="preserve">Basierend auf dem UBS Save &amp; Invest Pilotprojekt (MOD-UBS-037-001) wurden 7 repräsentative Personas entwickelt:</w:t>
      </w:r>
    </w:p>
    <w:bookmarkStart w:id="44" w:name="Xc80d7dc6cd460882928734e2ca464ae65695156"/>
    <w:p>
      <w:pPr>
        <w:pStyle w:val="Heading4"/>
      </w:pPr>
      <w:r>
        <w:t xml:space="preserve">Sandra Meier (42, HR-Managerin, CHF 120k) — SEG-01: Cash Holder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λ = 2.9</w:t>
      </w:r>
      <w:r>
        <w:t xml:space="preserve"> </w:t>
      </w:r>
      <w:r>
        <w:t xml:space="preserve">(hohe Verlustaversion),</w:t>
      </w:r>
      <w:r>
        <w:t xml:space="preserve"> </w:t>
      </w:r>
      <w:r>
        <w:rPr>
          <w:bCs/>
          <w:b/>
        </w:rPr>
        <w:t xml:space="preserve">τ = 0.55</w:t>
      </w:r>
      <w:r>
        <w:t xml:space="preserve"> </w:t>
      </w:r>
      <w:r>
        <w:t xml:space="preserve">(moderates Vertrauen),</w:t>
      </w:r>
      <w:r>
        <w:t xml:space="preserve"> </w:t>
      </w:r>
      <w:r>
        <w:rPr>
          <w:bCs/>
          <w:b/>
        </w:rPr>
        <w:t xml:space="preserve">ε = 0.75</w:t>
      </w:r>
      <w:r>
        <w:t xml:space="preserve"> </w:t>
      </w:r>
      <w:r>
        <w:t xml:space="preserve">(hohe Effort-Sensitivität)</w:t>
      </w:r>
    </w:p>
    <w:p>
      <w:pPr>
        <w:numPr>
          <w:ilvl w:val="0"/>
          <w:numId w:val="1013"/>
        </w:numPr>
        <w:pStyle w:val="Compact"/>
      </w:pPr>
      <w:r>
        <w:t xml:space="preserve">Hauptbarriere: «Ich habe Angst, mein Geld zu verlieren»</w:t>
      </w:r>
    </w:p>
    <w:p>
      <w:pPr>
        <w:numPr>
          <w:ilvl w:val="0"/>
          <w:numId w:val="1013"/>
        </w:numPr>
        <w:pStyle w:val="Compact"/>
      </w:pPr>
      <w:r>
        <w:t xml:space="preserve">Conversion-Potenzial: 4/10 → 6/10 mit Step-by-Step-Guidance</w:t>
      </w:r>
    </w:p>
    <w:p>
      <w:pPr>
        <w:numPr>
          <w:ilvl w:val="0"/>
          <w:numId w:val="1013"/>
        </w:numPr>
        <w:pStyle w:val="Compact"/>
      </w:pPr>
      <w:r>
        <w:t xml:space="preserve">Intervention: Kleinstbeträge-Einstieg (CHF 50/Monat), Fortschritts-Visualisierung</w:t>
      </w:r>
    </w:p>
    <w:bookmarkEnd w:id="44"/>
    <w:bookmarkStart w:id="45" w:name="Xcac74e4a0cf3b50c9655da1eef3f9bf518c1bfc"/>
    <w:p>
      <w:pPr>
        <w:pStyle w:val="Heading4"/>
      </w:pPr>
      <w:r>
        <w:t xml:space="preserve">Thomas Brunner (58, Versicherungsmanager, CHF 145k) — SEG-01: Cash Holder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λ = 3.1</w:t>
      </w:r>
      <w:r>
        <w:t xml:space="preserve"> </w:t>
      </w:r>
      <w:r>
        <w:t xml:space="preserve">(sehr hohe Verlustaversion),</w:t>
      </w:r>
      <w:r>
        <w:t xml:space="preserve"> </w:t>
      </w:r>
      <w:r>
        <w:rPr>
          <w:bCs/>
          <w:b/>
        </w:rPr>
        <w:t xml:space="preserve">β = 0.80</w:t>
      </w:r>
      <w:r>
        <w:t xml:space="preserve"> </w:t>
      </w:r>
      <w:r>
        <w:t xml:space="preserve">(mittlere Zeitpräferenz),</w:t>
      </w:r>
      <w:r>
        <w:t xml:space="preserve"> </w:t>
      </w:r>
      <w:r>
        <w:rPr>
          <w:bCs/>
          <w:b/>
        </w:rPr>
        <w:t xml:space="preserve">σ = 0.45</w:t>
      </w:r>
      <w:r>
        <w:t xml:space="preserve"> </w:t>
      </w:r>
      <w:r>
        <w:t xml:space="preserve">(moderater Social Proof)</w:t>
      </w:r>
    </w:p>
    <w:p>
      <w:pPr>
        <w:numPr>
          <w:ilvl w:val="0"/>
          <w:numId w:val="1014"/>
        </w:numPr>
        <w:pStyle w:val="Compact"/>
      </w:pPr>
      <w:r>
        <w:t xml:space="preserve">Hauptbarriere: «In meinem Alter brauche ich Sicherheit, keine Rendite»</w:t>
      </w:r>
    </w:p>
    <w:p>
      <w:pPr>
        <w:numPr>
          <w:ilvl w:val="0"/>
          <w:numId w:val="1014"/>
        </w:numPr>
        <w:pStyle w:val="Compact"/>
      </w:pPr>
      <w:r>
        <w:t xml:space="preserve">Conversion-Potenzial: 6/10 → 8/10 mit historischen Daten und Kapitalgarantie</w:t>
      </w:r>
    </w:p>
    <w:p>
      <w:pPr>
        <w:numPr>
          <w:ilvl w:val="0"/>
          <w:numId w:val="1014"/>
        </w:numPr>
        <w:pStyle w:val="Compact"/>
      </w:pPr>
      <w:r>
        <w:t xml:space="preserve">Intervention: Konservatives Default-Portfolio, transparente Kosten, Simulationsrechner</w:t>
      </w:r>
    </w:p>
    <w:bookmarkEnd w:id="45"/>
    <w:bookmarkStart w:id="46" w:name="X3c317b9cc223950b9e50a68604ea6b86e53568a"/>
    <w:p>
      <w:pPr>
        <w:pStyle w:val="Heading4"/>
      </w:pPr>
      <w:r>
        <w:t xml:space="preserve">Leila Özdemir (34, Projektmanagerin, CHF 95k) — SEG-01: Cash Holder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λ = 2.6</w:t>
      </w:r>
      <w:r>
        <w:t xml:space="preserve">,</w:t>
      </w:r>
      <w:r>
        <w:t xml:space="preserve"> </w:t>
      </w:r>
      <w:r>
        <w:rPr>
          <w:bCs/>
          <w:b/>
        </w:rPr>
        <w:t xml:space="preserve">σ = 0.70</w:t>
      </w:r>
      <w:r>
        <w:t xml:space="preserve"> </w:t>
      </w:r>
      <w:r>
        <w:t xml:space="preserve">(hoher Social Proof),</w:t>
      </w:r>
      <w:r>
        <w:t xml:space="preserve"> </w:t>
      </w:r>
      <w:r>
        <w:rPr>
          <w:bCs/>
          <w:b/>
        </w:rPr>
        <w:t xml:space="preserve">τ = 0.45</w:t>
      </w:r>
      <w:r>
        <w:t xml:space="preserve"> </w:t>
      </w:r>
      <w:r>
        <w:t xml:space="preserve">(niedriges Vertrauen)</w:t>
      </w:r>
    </w:p>
    <w:p>
      <w:pPr>
        <w:numPr>
          <w:ilvl w:val="0"/>
          <w:numId w:val="1015"/>
        </w:numPr>
        <w:pStyle w:val="Compact"/>
      </w:pPr>
      <w:r>
        <w:t xml:space="preserve">Hauptbarriere: «Was machen andere in meiner Situation?» + Eigenheimkauf bald</w:t>
      </w:r>
    </w:p>
    <w:p>
      <w:pPr>
        <w:numPr>
          <w:ilvl w:val="0"/>
          <w:numId w:val="1015"/>
        </w:numPr>
        <w:pStyle w:val="Compact"/>
      </w:pPr>
      <w:r>
        <w:t xml:space="preserve">Conversion-Potenzial: 5/10 → 7/10 mit Peer-Vergleich und Liquiditätsgarantie</w:t>
      </w:r>
    </w:p>
    <w:p>
      <w:pPr>
        <w:numPr>
          <w:ilvl w:val="0"/>
          <w:numId w:val="1015"/>
        </w:numPr>
        <w:pStyle w:val="Compact"/>
      </w:pPr>
      <w:r>
        <w:t xml:space="preserve">Intervention: Social Proof («73% deiner Kolleg:innen investieren»), jederzeit verfügbar</w:t>
      </w:r>
    </w:p>
    <w:bookmarkEnd w:id="46"/>
    <w:bookmarkStart w:id="47" w:name="Xa28ca5d2384cd5395c4d2722d0c5e7e1210351f"/>
    <w:p>
      <w:pPr>
        <w:pStyle w:val="Heading4"/>
      </w:pPr>
      <w:r>
        <w:t xml:space="preserve">Marco Keller (38, Software-Ingenieur, CHF 140k) — SEG-02: Invested Elsewhere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λ = 1.7</w:t>
      </w:r>
      <w:r>
        <w:t xml:space="preserve"> </w:t>
      </w:r>
      <w:r>
        <w:t xml:space="preserve">(niedrig),</w:t>
      </w:r>
      <w:r>
        <w:t xml:space="preserve"> </w:t>
      </w:r>
      <w:r>
        <w:rPr>
          <w:bCs/>
          <w:b/>
        </w:rPr>
        <w:t xml:space="preserve">τ_UBS = 0.30</w:t>
      </w:r>
      <w:r>
        <w:t xml:space="preserve"> </w:t>
      </w:r>
      <w:r>
        <w:t xml:space="preserve">(sehr niedrig für UBS als Plattform),</w:t>
      </w:r>
      <w:r>
        <w:t xml:space="preserve"> </w:t>
      </w:r>
      <w:r>
        <w:rPr>
          <w:bCs/>
          <w:b/>
        </w:rPr>
        <w:t xml:space="preserve">κ = 0.40</w:t>
      </w:r>
      <w:r>
        <w:t xml:space="preserve"> </w:t>
      </w:r>
      <w:r>
        <w:t xml:space="preserve">(aktiver Entscheider)</w:t>
      </w:r>
    </w:p>
    <w:p>
      <w:pPr>
        <w:numPr>
          <w:ilvl w:val="0"/>
          <w:numId w:val="1016"/>
        </w:numPr>
        <w:pStyle w:val="Compact"/>
      </w:pPr>
      <w:r>
        <w:t xml:space="preserve">Hauptbarriere: «Warum UBS statt Swissquote? Höhere Gebühren, weniger Features»</w:t>
      </w:r>
    </w:p>
    <w:p>
      <w:pPr>
        <w:numPr>
          <w:ilvl w:val="0"/>
          <w:numId w:val="1016"/>
        </w:numPr>
        <w:pStyle w:val="Compact"/>
      </w:pPr>
      <w:r>
        <w:t xml:space="preserve">Conversion-Potenzial: 3/10 → 5/10 (HARD SELL)</w:t>
      </w:r>
    </w:p>
    <w:p>
      <w:pPr>
        <w:numPr>
          <w:ilvl w:val="0"/>
          <w:numId w:val="1016"/>
        </w:numPr>
        <w:pStyle w:val="Compact"/>
      </w:pPr>
      <w:r>
        <w:t xml:space="preserve">Intervention: Feature Parity + Consolidation Value + kompetitive Preise</w:t>
      </w:r>
    </w:p>
    <w:bookmarkEnd w:id="47"/>
    <w:bookmarkStart w:id="48" w:name="Xc39a4f41924fe3a4067a7910213cf813587868c"/>
    <w:p>
      <w:pPr>
        <w:pStyle w:val="Heading4"/>
      </w:pPr>
      <w:r>
        <w:t xml:space="preserve">Nina Gerber (45, Ärztin/Praxisinhaberin, CHF 250k) — SEG-02: Invested Elsewhere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ε = 0.85</w:t>
      </w:r>
      <w:r>
        <w:t xml:space="preserve"> </w:t>
      </w:r>
      <w:r>
        <w:t xml:space="preserve">(extreme Effort-Sensitivität),</w:t>
      </w:r>
      <w:r>
        <w:t xml:space="preserve"> </w:t>
      </w:r>
      <w:r>
        <w:rPr>
          <w:bCs/>
          <w:b/>
        </w:rPr>
        <w:t xml:space="preserve">τ = 0.40</w:t>
      </w:r>
      <w:r>
        <w:t xml:space="preserve">, Vermögen fragmentiert über 3 Plattformen</w:t>
      </w:r>
    </w:p>
    <w:p>
      <w:pPr>
        <w:numPr>
          <w:ilvl w:val="0"/>
          <w:numId w:val="1017"/>
        </w:numPr>
        <w:pStyle w:val="Compact"/>
      </w:pPr>
      <w:r>
        <w:t xml:space="preserve">Hauptbarriere: «Keine Zeit für mehrere Plattformen, aber ich will nicht belehrt werden»</w:t>
      </w:r>
    </w:p>
    <w:p>
      <w:pPr>
        <w:numPr>
          <w:ilvl w:val="0"/>
          <w:numId w:val="1017"/>
        </w:numPr>
        <w:pStyle w:val="Compact"/>
      </w:pPr>
      <w:r>
        <w:t xml:space="preserve">Conversion-Potenzial: 7/10 → 9/10 (BEREIT, wenn Friction weg)</w:t>
      </w:r>
    </w:p>
    <w:p>
      <w:pPr>
        <w:numPr>
          <w:ilvl w:val="0"/>
          <w:numId w:val="1017"/>
        </w:numPr>
        <w:pStyle w:val="Compact"/>
      </w:pPr>
      <w:r>
        <w:t xml:space="preserve">Intervention: One-Stop-Consolidation, Zero-Push-Sales, Autonomie bewahren</w:t>
      </w:r>
    </w:p>
    <w:bookmarkEnd w:id="48"/>
    <w:bookmarkStart w:id="49" w:name="X65eb63e441889b3f4f9b64fa74918bc3b13fed7"/>
    <w:p>
      <w:pPr>
        <w:pStyle w:val="Heading4"/>
      </w:pPr>
      <w:r>
        <w:t xml:space="preserve">Peter Huber (52, selbständiger Elektriker, CHF 85k) — SEG-03: Never Invested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λ = 3.4</w:t>
      </w:r>
      <w:r>
        <w:t xml:space="preserve"> </w:t>
      </w:r>
      <w:r>
        <w:t xml:space="preserve">(sehr hohe Verlustaversion),</w:t>
      </w:r>
      <w:r>
        <w:t xml:space="preserve"> </w:t>
      </w:r>
      <w:r>
        <w:rPr>
          <w:bCs/>
          <w:b/>
        </w:rPr>
        <w:t xml:space="preserve">κ = 0.90</w:t>
      </w:r>
      <w:r>
        <w:t xml:space="preserve"> </w:t>
      </w:r>
      <w:r>
        <w:t xml:space="preserve">(extreme Default-Sensitivität),</w:t>
      </w:r>
      <w:r>
        <w:t xml:space="preserve"> </w:t>
      </w:r>
      <w:r>
        <w:rPr>
          <w:bCs/>
          <w:b/>
        </w:rPr>
        <w:t xml:space="preserve">τ = 0.35</w:t>
      </w:r>
      <w:r>
        <w:t xml:space="preserve"> </w:t>
      </w:r>
      <w:r>
        <w:t xml:space="preserve">(sehr niedriges Bankvertrauen)</w:t>
      </w:r>
    </w:p>
    <w:p>
      <w:pPr>
        <w:numPr>
          <w:ilvl w:val="0"/>
          <w:numId w:val="1018"/>
        </w:numPr>
        <w:pStyle w:val="Compact"/>
      </w:pPr>
      <w:r>
        <w:t xml:space="preserve">Hauptbarriere: «Investieren ist nicht für Leute wie mich» — Identitätsmismatch</w:t>
      </w:r>
    </w:p>
    <w:p>
      <w:pPr>
        <w:numPr>
          <w:ilvl w:val="0"/>
          <w:numId w:val="1018"/>
        </w:numPr>
        <w:pStyle w:val="Compact"/>
      </w:pPr>
      <w:r>
        <w:t xml:space="preserve">Conversion-Potenzial: 2/10 → 4/10 (SEHR SCHWER)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Backfire-Risiko:</w:t>
      </w:r>
      <w:r>
        <w:t xml:space="preserve"> </w:t>
      </w:r>
      <w:r>
        <w:t xml:space="preserve">Fear-Messaging Score nur 2.7/5.0 — Peter explizit: «Die wollen mir Angst machen!»</w:t>
      </w:r>
    </w:p>
    <w:p>
      <w:pPr>
        <w:numPr>
          <w:ilvl w:val="0"/>
          <w:numId w:val="1018"/>
        </w:numPr>
        <w:pStyle w:val="Compact"/>
      </w:pPr>
      <w:r>
        <w:t xml:space="preserve">Intervention: Persönliche Empfehlung von Vertrauensperson (Frau, Freund), extreme Vereinfachung</w:t>
      </w:r>
    </w:p>
    <w:bookmarkEnd w:id="49"/>
    <w:bookmarkStart w:id="50" w:name="Xe0f610785d75224470b2b61627dc4ad4901f342"/>
    <w:p>
      <w:pPr>
        <w:pStyle w:val="Heading4"/>
      </w:pPr>
      <w:r>
        <w:t xml:space="preserve">Julia Weber (28, Marketing-Managerin, CHF 78k) — SEG-03: Never Invested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β = 0.60</w:t>
      </w:r>
      <w:r>
        <w:t xml:space="preserve"> </w:t>
      </w:r>
      <w:r>
        <w:t xml:space="preserve">(sehr hohe Present Bias),</w:t>
      </w:r>
      <w:r>
        <w:t xml:space="preserve"> </w:t>
      </w:r>
      <w:r>
        <w:rPr>
          <w:bCs/>
          <w:b/>
        </w:rPr>
        <w:t xml:space="preserve">σ = 0.75</w:t>
      </w:r>
      <w:r>
        <w:t xml:space="preserve"> </w:t>
      </w:r>
      <w:r>
        <w:t xml:space="preserve">(sehr hoher Social Proof),</w:t>
      </w:r>
      <w:r>
        <w:t xml:space="preserve"> </w:t>
      </w:r>
      <w:r>
        <w:rPr>
          <w:bCs/>
          <w:b/>
        </w:rPr>
        <w:t xml:space="preserve">ε = 0.90</w:t>
      </w:r>
      <w:r>
        <w:t xml:space="preserve"> </w:t>
      </w:r>
      <w:r>
        <w:t xml:space="preserve">(extreme Effort-Sensitivität)</w:t>
      </w:r>
    </w:p>
    <w:p>
      <w:pPr>
        <w:numPr>
          <w:ilvl w:val="0"/>
          <w:numId w:val="1019"/>
        </w:numPr>
        <w:pStyle w:val="Compact"/>
      </w:pPr>
      <w:r>
        <w:t xml:space="preserve">Hauptbarriere: «YOLO — ich lebe jetzt, nicht in 40 Jahren» + «Ich hab eh nicht genug Geld»</w:t>
      </w:r>
    </w:p>
    <w:p>
      <w:pPr>
        <w:numPr>
          <w:ilvl w:val="0"/>
          <w:numId w:val="1019"/>
        </w:numPr>
        <w:pStyle w:val="Compact"/>
      </w:pPr>
      <w:r>
        <w:t xml:space="preserve">Conversion-Potenzial: 5/10 → 7/10 mit Social Trigger</w:t>
      </w:r>
    </w:p>
    <w:p>
      <w:pPr>
        <w:numPr>
          <w:ilvl w:val="0"/>
          <w:numId w:val="1019"/>
        </w:numPr>
        <w:pStyle w:val="Compact"/>
      </w:pPr>
      <w:r>
        <w:t xml:space="preserve">Intervention: Instagram-Style Content, Peer-Proof, CHF 10 Einstieg, Gamification</w:t>
      </w:r>
    </w:p>
    <w:bookmarkEnd w:id="50"/>
    <w:bookmarkEnd w:id="51"/>
    <w:bookmarkStart w:id="52" w:name="Xb94ecafc2345eb4459c6956a0e4a528576d6458"/>
    <w:p>
      <w:pPr>
        <w:pStyle w:val="Heading3"/>
      </w:pPr>
      <w:r>
        <w:t xml:space="preserve">3.3 Segment-Heterogenität: Warum One-Size-Fits-All scheitert</w:t>
      </w:r>
    </w:p>
    <w:p>
      <w:pPr>
        <w:pStyle w:val="FirstParagraph"/>
      </w:pPr>
      <w:r>
        <w:t xml:space="preserve">Die Verhaltensparameter variieren um den Faktor 2-10× über die Personas: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Segment-Beispiel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 (Loss Aversion)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vs. Peter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 (Trust)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vs. 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(Present Bias)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 vs. Thomas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κ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vs. Peter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(Social Proof)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vs. Julia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 (Effort)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Affluent vs. Julia</w:t>
            </w:r>
          </w:p>
        </w:tc>
      </w:tr>
    </w:tbl>
    <w:p>
      <w:pPr>
        <w:pStyle w:val="BodyText"/>
      </w:pPr>
      <w:r>
        <w:rPr>
          <w:bCs/>
          <w:b/>
        </w:rPr>
        <w:t xml:space="preserve">Fazit:</w:t>
      </w:r>
      <w:r>
        <w:t xml:space="preserve"> </w:t>
      </w:r>
      <w:r>
        <w:t xml:space="preserve">Eine einheitliche Marketing-Strategie wäre maximal für 1 von 7 Personas optimal und für die anderen suboptimal oder sogar kontraproduktiv (Backfire).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modellspezifikation"/>
    <w:p>
      <w:pPr>
        <w:pStyle w:val="Heading2"/>
      </w:pPr>
      <w:r>
        <w:t xml:space="preserve">4. Modellspezifikation</w:t>
      </w:r>
    </w:p>
    <w:bookmarkStart w:id="58" w:name="modell-architektur"/>
    <w:p>
      <w:pPr>
        <w:pStyle w:val="Heading3"/>
      </w:pPr>
      <w:r>
        <w:t xml:space="preserve">4.1 Modell-Architektur</w:t>
      </w:r>
    </w:p>
    <w:p>
      <w:pPr>
        <w:pStyle w:val="FirstParagraph"/>
      </w:pPr>
      <w:r>
        <w:t xml:space="preserve">Die Analyse verwendet 4 integrierte Verhaltensmodelle:</w:t>
      </w:r>
    </w:p>
    <w:bookmarkStart w:id="54" w:name="Xde77b49b29da8772a9f33737f878c19f387397d"/>
    <w:p>
      <w:pPr>
        <w:pStyle w:val="Heading4"/>
      </w:pPr>
      <w:r>
        <w:t xml:space="preserve">Basis-Modell: MOD-UBS-GMA-001 (Growth Marketing Activation)</w:t>
      </w:r>
    </w:p>
    <w:p>
      <w:pPr>
        <w:pStyle w:val="FirstParagraph"/>
      </w:pPr>
      <w:r>
        <w:rPr>
          <w:bCs/>
          <w:b/>
        </w:rPr>
        <w:t xml:space="preserve">Formel:</w:t>
      </w:r>
    </w:p>
    <w:p>
      <w:pPr>
        <w:pStyle w:val="BodyText"/>
      </w:pPr>
      <w:r>
        <w:t xml:space="preserve">A = Σᵢ wᵢ × Mᵢ</w:t>
      </w:r>
    </w:p>
    <w:p>
      <w:pPr>
        <w:pStyle w:val="BodyText"/>
      </w:pPr>
      <w:r>
        <w:t xml:space="preserve">Wobei A der Unified Activation Score ist und Mᵢ die 4 Module: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07"/>
        <w:gridCol w:w="864"/>
        <w:gridCol w:w="1584"/>
        <w:gridCol w:w="864"/>
        <w:gridCol w:w="1584"/>
        <w:gridCol w:w="20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App-Friction, Awareness, In-App-Nudges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Vertrauensaufbau (4 Dimensionen)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Effectiveness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Kampagnen-Relevanz,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Comms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Migrations-Narrativ, Change Management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Baseline:</w:t>
      </w:r>
      <w:r>
        <w:t xml:space="preserve"> </w:t>
      </w:r>
      <w:r>
        <w:t xml:space="preserve">A = 0.32 (aktuell) →</w:t>
      </w:r>
      <w:r>
        <w:t xml:space="preserve"> </w:t>
      </w:r>
      <w:r>
        <w:rPr>
          <w:bCs/>
          <w:b/>
        </w:rPr>
        <w:t xml:space="preserve">Ziel:</w:t>
      </w:r>
      <w:r>
        <w:t xml:space="preserve"> </w:t>
      </w:r>
      <w:r>
        <w:t xml:space="preserve">A = 0.55 →</w:t>
      </w:r>
      <w:r>
        <w:t xml:space="preserve"> </w:t>
      </w:r>
      <w:r>
        <w:rPr>
          <w:bCs/>
          <w:b/>
        </w:rPr>
        <w:t xml:space="preserve">Gap:</w:t>
      </w:r>
      <w:r>
        <w:t xml:space="preserve"> </w:t>
      </w:r>
      <w:r>
        <w:t xml:space="preserve">+0.23</w:t>
      </w:r>
    </w:p>
    <w:bookmarkEnd w:id="54"/>
    <w:bookmarkStart w:id="55" w:name="m1-competitive-response-model-neu"/>
    <w:p>
      <w:pPr>
        <w:pStyle w:val="Heading4"/>
      </w:pPr>
      <w:r>
        <w:t xml:space="preserve">M1: Competitive Response Model (NEU)</w:t>
      </w:r>
    </w:p>
    <w:p>
      <w:pPr>
        <w:pStyle w:val="FirstParagraph"/>
      </w:pPr>
      <w:r>
        <w:rPr>
          <w:bCs/>
          <w:b/>
        </w:rPr>
        <w:t xml:space="preserve">Formel:</w:t>
      </w:r>
    </w:p>
    <w:p>
      <w:pPr>
        <w:pStyle w:val="BodyText"/>
      </w:pPr>
      <w:r>
        <w:t xml:space="preserve">P(switch) = σ(α·ΔU_P + β·ΔU_F + γ·ΔU_I - δ·SC - ε·τ)</w:t>
      </w:r>
    </w:p>
    <w:p>
      <w:pPr>
        <w:pStyle w:val="BodyText"/>
      </w:pPr>
      <w:r>
        <w:t xml:space="preserve">Wobei:</w:t>
      </w:r>
      <w:r>
        <w:t xml:space="preserve"> </w:t>
      </w:r>
      <w:r>
        <w:t xml:space="preserve">- ΔU_P = UX-Gap (Neobank vs. UBS App)</w:t>
      </w:r>
      <w:r>
        <w:t xml:space="preserve"> </w:t>
      </w:r>
      <w:r>
        <w:t xml:space="preserve">- ΔU_F = Kosten-Gap (Revolut Free vs. UBS Gebühren)</w:t>
      </w:r>
      <w:r>
        <w:t xml:space="preserve"> </w:t>
      </w:r>
      <w:r>
        <w:t xml:space="preserve">- ΔU_I = Identity-Gap («cool» vs. «traditionell»)</w:t>
      </w:r>
      <w:r>
        <w:t xml:space="preserve"> </w:t>
      </w:r>
      <w:r>
        <w:t xml:space="preserve">- SC = Switching Costs (Lastschriften, Hypothek, 3a, Lohn)</w:t>
      </w:r>
      <w:r>
        <w:t xml:space="preserve"> </w:t>
      </w:r>
      <w:r>
        <w:t xml:space="preserve">- τ = Trust Barrier (reguliert vs. unreguliert)</w:t>
      </w:r>
    </w:p>
    <w:p>
      <w:pPr>
        <w:pStyle w:val="BodyText"/>
      </w:pPr>
      <w:r>
        <w:rPr>
          <w:bCs/>
          <w:b/>
        </w:rPr>
        <w:t xml:space="preserve">Theoretische Fundierung:</w:t>
      </w:r>
      <w:r>
        <w:t xml:space="preserve"> </w:t>
      </w:r>
      <w:r>
        <w:t xml:space="preserve">MS-IB-001 (Identity Economics, Akerlof &amp; Kranton 2000), MOD-SWITCH-001 (Neobank Switching Behavior)</w:t>
      </w:r>
    </w:p>
    <w:bookmarkEnd w:id="55"/>
    <w:bookmarkStart w:id="56" w:name="m2-budget-allocation-model-neu"/>
    <w:p>
      <w:pPr>
        <w:pStyle w:val="Heading4"/>
      </w:pPr>
      <w:r>
        <w:t xml:space="preserve">M2: Budget Allocation Model (NEU)</w:t>
      </w:r>
    </w:p>
    <w:p>
      <w:pPr>
        <w:pStyle w:val="FirstParagraph"/>
      </w:pPr>
      <w:r>
        <w:rPr>
          <w:bCs/>
          <w:b/>
        </w:rPr>
        <w:t xml:space="preserve">Optimierungsformel:</w:t>
      </w:r>
    </w:p>
    <w:p>
      <w:pPr>
        <w:pStyle w:val="BodyText"/>
      </w:pPr>
      <w:r>
        <w:t xml:space="preserve">max Σᵢⱼₖ ROI(seg_i, mod_j, chan_k) × B(i,j,k)</w:t>
      </w:r>
    </w:p>
    <w:p>
      <w:pPr>
        <w:pStyle w:val="BodyText"/>
      </w:pPr>
      <w:r>
        <w:t xml:space="preserve">s.t. Σ B(i,j,k) ≤ B_total</w:t>
      </w:r>
    </w:p>
    <w:p>
      <w:pPr>
        <w:pStyle w:val="BodyText"/>
      </w:pPr>
      <w:r>
        <w:t xml:space="preserve">Wobei:</w:t>
      </w:r>
    </w:p>
    <w:p>
      <w:pPr>
        <w:pStyle w:val="BodyText"/>
      </w:pPr>
      <w:r>
        <w:t xml:space="preserve">ROI(i,j,k) = ΔA(i,j) × Conv(k) × LTV(i) × (1 + Σγ_compl)</w:t>
      </w:r>
    </w:p>
    <w:p>
      <w:pPr>
        <w:numPr>
          <w:ilvl w:val="0"/>
          <w:numId w:val="1020"/>
        </w:numPr>
        <w:pStyle w:val="Compact"/>
      </w:pPr>
      <w:r>
        <w:t xml:space="preserve">ΔA(i,j) = Activation Score Lift durch Modul j für Segment i</w:t>
      </w:r>
    </w:p>
    <w:p>
      <w:pPr>
        <w:numPr>
          <w:ilvl w:val="0"/>
          <w:numId w:val="1020"/>
        </w:numPr>
        <w:pStyle w:val="Compact"/>
      </w:pPr>
      <w:r>
        <w:t xml:space="preserve">Conv(k) = Konversionsrate von Kanal k</w:t>
      </w:r>
    </w:p>
    <w:p>
      <w:pPr>
        <w:numPr>
          <w:ilvl w:val="0"/>
          <w:numId w:val="1020"/>
        </w:numPr>
        <w:pStyle w:val="Compact"/>
      </w:pPr>
      <w:r>
        <w:t xml:space="preserve">LTV(i) = Customer Lifetime Value von Segment i</w:t>
      </w:r>
    </w:p>
    <w:p>
      <w:pPr>
        <w:numPr>
          <w:ilvl w:val="0"/>
          <w:numId w:val="1020"/>
        </w:numPr>
        <w:pStyle w:val="Compact"/>
      </w:pPr>
      <w:r>
        <w:t xml:space="preserve">γ_compl = Kanal-Komplementaritäten</w:t>
      </w:r>
    </w:p>
    <w:bookmarkEnd w:id="56"/>
    <w:bookmarkStart w:id="57" w:name="m3-trust-recovery-dynamics-neu"/>
    <w:p>
      <w:pPr>
        <w:pStyle w:val="Heading4"/>
      </w:pPr>
      <w:r>
        <w:t xml:space="preserve">M3: Trust Recovery Dynamics (NEU)</w:t>
      </w:r>
    </w:p>
    <w:p>
      <w:pPr>
        <w:pStyle w:val="FirstParagraph"/>
      </w:pPr>
      <w:r>
        <w:rPr>
          <w:bCs/>
          <w:b/>
        </w:rPr>
        <w:t xml:space="preserve">Dynamisches Modell:</w:t>
      </w:r>
    </w:p>
    <w:p>
      <w:pPr>
        <w:pStyle w:val="BodyText"/>
      </w:pPr>
      <w:r>
        <w:t xml:space="preserve">τ(t+1) = τ(t) + α·Positive(t) - β·Negative(t) - δ·Decay(t)</w:t>
      </w:r>
    </w:p>
    <w:p>
      <w:pPr>
        <w:pStyle w:val="BodyText"/>
      </w:pPr>
      <w:r>
        <w:t xml:space="preserve">Wobei:</w:t>
      </w:r>
      <w:r>
        <w:t xml:space="preserve"> </w:t>
      </w:r>
      <w:r>
        <w:t xml:space="preserve">- α = Trust-Aufbau-Rate: 0.02-0.04 pro positivem Kontakt (LANGSAM)</w:t>
      </w:r>
      <w:r>
        <w:t xml:space="preserve"> </w:t>
      </w:r>
      <w:r>
        <w:t xml:space="preserve">- β = Trust-Erosion-Rate: 0.08-0.15 pro negativem Event (SCHNELL)</w:t>
      </w:r>
      <w:r>
        <w:t xml:space="preserve"> </w:t>
      </w:r>
      <w:r>
        <w:t xml:space="preserve">- δ = Natürlicher Zerfall: ~0.01/Monat ohne Kontakt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Asymmetrie-Ratio:</w:t>
      </w:r>
      <w:r>
        <w:t xml:space="preserve"> </w:t>
      </w:r>
      <w:r>
        <w:t xml:space="preserve">β/α ≈ 3.5</w:t>
      </w:r>
    </w:p>
    <w:p>
      <w:pPr>
        <w:pStyle w:val="BodyText"/>
      </w:pPr>
      <w:r>
        <w:rPr>
          <w:bCs/>
          <w:b/>
        </w:rPr>
        <w:t xml:space="preserve">Theoretische Fundierung:</w:t>
      </w:r>
      <w:r>
        <w:t xml:space="preserve"> </w:t>
      </w:r>
      <w:r>
        <w:t xml:space="preserve">MS-SP-001 (Inequity Aversion, Fehr &amp; Schmidt 1999), MS-SP-005 (Reciprocity), Bohnet &amp; Zeckhauser (2004)</w:t>
      </w:r>
    </w:p>
    <w:bookmarkEnd w:id="57"/>
    <w:bookmarkEnd w:id="58"/>
    <w:bookmarkStart w:id="59" w:name="modell-integration"/>
    <w:p>
      <w:pPr>
        <w:pStyle w:val="Heading3"/>
      </w:pPr>
      <w:r>
        <w:t xml:space="preserve">4.2 Modell-Integration</w:t>
      </w:r>
    </w:p>
    <w:p>
      <w:pPr>
        <w:pStyle w:val="FirstParagraph"/>
      </w:pPr>
      <w:r>
        <w:t xml:space="preserve">Die 4 Modelle interagieren: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M3</w:t>
      </w:r>
      <w:r>
        <w:t xml:space="preserve"> </w:t>
      </w:r>
      <w:r>
        <w:t xml:space="preserve">(Trust Dynamics) → speist Module B von GMA-001 mit τ(t) Trajektorie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M1</w:t>
      </w:r>
      <w:r>
        <w:t xml:space="preserve"> </w:t>
      </w:r>
      <w:r>
        <w:t xml:space="preserve">(Competitive Response) → quantifiziert die URGENCY (Churn-Risiko als Zeitdruck)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M2</w:t>
      </w:r>
      <w:r>
        <w:t xml:space="preserve"> </w:t>
      </w:r>
      <w:r>
        <w:t xml:space="preserve">(Budget Allocation) → optimiert die RESSOURCEN-VERTEILUNG</w:t>
      </w:r>
    </w:p>
    <w:p>
      <w:pPr>
        <w:pStyle w:val="FirstParagraph"/>
      </w:pPr>
      <w:r>
        <w:rPr>
          <w:bCs/>
          <w:b/>
        </w:rPr>
        <w:t xml:space="preserve">Sequenz-Logik:</w:t>
      </w:r>
    </w:p>
    <w:p>
      <w:pPr>
        <w:numPr>
          <w:ilvl w:val="0"/>
          <w:numId w:val="1022"/>
        </w:numPr>
        <w:pStyle w:val="Compact"/>
      </w:pPr>
      <w:r>
        <w:t xml:space="preserve">Q1 2026: Trust Recovery starten (M3) + Churn stoppen (M1)</w:t>
      </w:r>
    </w:p>
    <w:p>
      <w:pPr>
        <w:numPr>
          <w:ilvl w:val="0"/>
          <w:numId w:val="1022"/>
        </w:numPr>
        <w:pStyle w:val="Compact"/>
      </w:pPr>
      <w:r>
        <w:t xml:space="preserve">Q2 2026: Digital Activation skalieren (M2 → Mod A)</w:t>
      </w:r>
    </w:p>
    <w:p>
      <w:pPr>
        <w:numPr>
          <w:ilvl w:val="0"/>
          <w:numId w:val="1022"/>
        </w:numPr>
        <w:pStyle w:val="Compact"/>
      </w:pPr>
      <w:r>
        <w:t xml:space="preserve">Q3 2026: Growth Effectiveness optimieren (M2 → Mod C)</w:t>
      </w:r>
    </w:p>
    <w:p>
      <w:pPr>
        <w:numPr>
          <w:ilvl w:val="0"/>
          <w:numId w:val="1022"/>
        </w:numPr>
        <w:pStyle w:val="Compact"/>
      </w:pPr>
      <w:r>
        <w:t xml:space="preserve">Q4 2026: Integration Comms auslaufen lassen (Mod D) + Harvest (3a Peak)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parametrisierung-und-validierung"/>
    <w:p>
      <w:pPr>
        <w:pStyle w:val="Heading2"/>
      </w:pPr>
      <w:r>
        <w:t xml:space="preserve">5. Parametrisierung und Validierung</w:t>
      </w:r>
    </w:p>
    <w:bookmarkStart w:id="61" w:name="methodik-3-stufige-parametrisierung"/>
    <w:p>
      <w:pPr>
        <w:pStyle w:val="Heading3"/>
      </w:pPr>
      <w:r>
        <w:t xml:space="preserve">5.1 Methodik: 3-stufige Parametrisierung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036"/>
        <w:gridCol w:w="1810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Konfidenz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LLMMC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Monte Carlo 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 + 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BCM2 Posterior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Schweizer Kontext-Faktoren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Monte Carlo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10’000 Draws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Posterior-Verteilungen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</w:tbl>
    <w:bookmarkEnd w:id="61"/>
    <w:bookmarkStart w:id="62" w:name="parameter-matrix-bcm2-validiert"/>
    <w:p>
      <w:pPr>
        <w:pStyle w:val="Heading3"/>
      </w:pPr>
      <w:r>
        <w:t xml:space="preserve">5.2 Parameter-Matrix (BCM2-validiert)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LLMMC-Prior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BCM2-Posterior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Konfidenz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 (Loss Aversion)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1.6-3.4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1.8-3.2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Eingeengt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λ_Krise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 (Trust)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τ_Benevolence Ex-CS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(Present Bias)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Eingeengt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β_Stress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κ (Default Sensitivity)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κ_DE-CH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 (regional)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κ_FR-CH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 (regional)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(Social Proof)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σ_Peers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Grösste Korrektur:</w:t>
      </w:r>
      <w:r>
        <w:t xml:space="preserve"> </w:t>
      </w:r>
      <w:r>
        <w:t xml:space="preserve">Default Sensitivity (κ) von 0.40 auf 0.78 angehoben. Die BCM2-Daten zeigen, dass Schweizer:innen eine extrem hohe Default-Compliance haben (CH-REG-08 = 0.82-0.88). Dies war im LLMMC-Prior unterschätzt.</w:t>
      </w:r>
    </w:p>
    <w:p>
      <w:pPr>
        <w:pStyle w:val="BodyText"/>
      </w:pPr>
      <w:r>
        <w:rPr>
          <w:bCs/>
          <w:b/>
        </w:rPr>
        <w:t xml:space="preserve">Grösste Entdeckung:</w:t>
      </w:r>
      <w:r>
        <w:t xml:space="preserve"> </w:t>
      </w:r>
      <w:r>
        <w:t xml:space="preserve">Regionale Heterogenität DE-CH vs. FR-CH — durchgängig +10 Prozentpunkte bei κ, σ und λ_property in der Deutschschweiz.</w:t>
      </w:r>
    </w:p>
    <w:bookmarkEnd w:id="62"/>
    <w:bookmarkStart w:id="63" w:name="segment-spezifische-parameter"/>
    <w:p>
      <w:pPr>
        <w:pStyle w:val="Heading3"/>
      </w:pPr>
      <w:r>
        <w:t xml:space="preserve">5.3 Segment-spezifische Parameter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Affluent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λ_Krise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τ_Benevolence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σ_Peers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 (Effort)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ι (Identity)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</w:tr>
    </w:tbl>
    <w:bookmarkEnd w:id="63"/>
    <w:bookmarkStart w:id="64" w:name="life-event-multiplikatoren"/>
    <w:p>
      <w:pPr>
        <w:pStyle w:val="Heading3"/>
      </w:pPr>
      <w:r>
        <w:t xml:space="preserve">5.4 Life Event Multiplikatoren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Bestes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Erbschaft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Jederzeit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Affluent (RM nötig)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Dezember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(Tax-driven)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Bonus/13. 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Dez-Jan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+ 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Immobilienkauf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Jederzeit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Affluent + 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Steuererklärung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Feb-März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90-Tage-Fenster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Ex-CS</w:t>
            </w:r>
          </w:p>
        </w:tc>
      </w:tr>
    </w:tbl>
    <w:bookmarkEnd w:id="64"/>
    <w:bookmarkStart w:id="65" w:name="monte-carlo-sensitivität"/>
    <w:p>
      <w:pPr>
        <w:pStyle w:val="Heading3"/>
      </w:pPr>
      <w:r>
        <w:t xml:space="preserve">5.5 Monte Carlo Sensitivität</w:t>
      </w:r>
    </w:p>
    <w:p>
      <w:pPr>
        <w:pStyle w:val="FirstParagraph"/>
      </w:pPr>
      <w:r>
        <w:t xml:space="preserve">Die Monte-Carlo-Analyse (10’000 Draws) identifiziert die Parameter mit dem grössten Einfluss auf das Ergebnis:</w:t>
      </w:r>
    </w:p>
    <w:p>
      <w:pPr>
        <w:pStyle w:val="BodyText"/>
      </w:pPr>
      <w:r>
        <w:rPr>
          <w:bCs/>
          <w:b/>
        </w:rPr>
        <w:t xml:space="preserve">Für GMA-001 (Activation Score):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Erklärte Varianz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κ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HAUPTTREIBER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 (Trust)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 (Effort/UX)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(Social)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(Present Bias)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Für M3 (Trust Recovery):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Erklärte Varianz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β/α Asymmetrie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HAUPTTREIBER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Fehler-Frequenz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Kontakt-Frequenz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Benevolence-Gap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Für M1 (Competitive Response):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Erklärte Varianz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 (Switching Costs)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HAUPTTREIBER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 (Trust)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ΔU_P (UX-Gap)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ΔU_F (Kosten-Gap)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ι (Identity)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Robustheit:</w:t>
      </w:r>
      <w:r>
        <w:t xml:space="preserve"> </w:t>
      </w:r>
      <w:r>
        <w:t xml:space="preserve">Die Ergebnisse sind stabil: In 95% der Monte-Carlo-Draws bleibt die Reihenfolge der Segment-Prioritäten gleich (Ex-CS &gt; Digital &gt; Legacy &gt; Affluent nach Revenue-at-Risk).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ergebnisse-activation-score-analyse"/>
    <w:p>
      <w:pPr>
        <w:pStyle w:val="Heading2"/>
      </w:pPr>
      <w:r>
        <w:t xml:space="preserve">6. Ergebnisse: Activation Score Analyse</w:t>
      </w:r>
    </w:p>
    <w:bookmarkStart w:id="67" w:name="activation-score-pro-segment"/>
    <w:p>
      <w:pPr>
        <w:pStyle w:val="Heading3"/>
      </w:pPr>
      <w:r>
        <w:t xml:space="preserve">6.1 Activation Score pro Segment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8"/>
        <w:gridCol w:w="1352"/>
        <w:gridCol w:w="1545"/>
        <w:gridCol w:w="965"/>
        <w:gridCol w:w="23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A_ziel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Haupthebel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(1.5M)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κ (Defaults) + Growth Mod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Ex-CS (1.0M)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 (Trust) + Mod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(0.8M)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 (Friction↓) + Mod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Affluent (0.4M)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× App 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Gesamt (3.7M)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Defaults (κ = 0.85)</w:t>
            </w:r>
          </w:p>
        </w:tc>
      </w:tr>
    </w:tbl>
    <w:bookmarkEnd w:id="67"/>
    <w:bookmarkStart w:id="68" w:name="churn-prognose-pro-segment-m1"/>
    <w:p>
      <w:pPr>
        <w:pStyle w:val="Heading3"/>
      </w:pPr>
      <w:r>
        <w:t xml:space="preserve">6.2 Churn-Prognose pro Segment (M1)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P(switch)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Haupttreiber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bLink-Effekt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(0.25)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+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+8-12pp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CS-Migriert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(0.35)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Trust-Defizit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+5-8pp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(0.75)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 (sekundär)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+2-3pp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Affluent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(0.80)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(RM-Bindung)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+1-2pp</w:t>
            </w:r>
          </w:p>
        </w:tc>
      </w:tr>
    </w:tbl>
    <w:p>
      <w:pPr>
        <w:pStyle w:val="BodyText"/>
      </w:pPr>
      <w:r>
        <w:rPr>
          <w:bCs/>
          <w:b/>
        </w:rPr>
        <w:t xml:space="preserve">Kritisch:</w:t>
      </w:r>
      <w:r>
        <w:t xml:space="preserve"> </w:t>
      </w:r>
      <w:r>
        <w:t xml:space="preserve">SIX bLink senkt Switching Costs um ~30% für alle Segmente. Ohne Gegenmassnahmen steigt das Churn-Risiko um 8-12 Prozentpunkte im Digital-Only Segment.</w:t>
      </w:r>
    </w:p>
    <w:bookmarkEnd w:id="68"/>
    <w:bookmarkStart w:id="69" w:name="trust-recovery-trajektorie-m3"/>
    <w:p>
      <w:pPr>
        <w:pStyle w:val="Heading3"/>
      </w:pPr>
      <w:r>
        <w:t xml:space="preserve">6.3 Trust Recovery Trajektorie (M3)</w:t>
      </w:r>
    </w:p>
    <w:p>
      <w:pPr>
        <w:pStyle w:val="FirstParagraph"/>
      </w:pPr>
      <w:r>
        <w:t xml:space="preserve">Die Trust Recovery für das Ex-CS Segment folgt einer asymmetrischen Dynamik:</w:t>
      </w:r>
    </w:p>
    <w:p>
      <w:pPr>
        <w:pStyle w:val="BodyText"/>
      </w:pPr>
      <w:r>
        <w:rPr>
          <w:bCs/>
          <w:b/>
        </w:rPr>
        <w:t xml:space="preserve">Bei null Fehlern (BEST CASE, P = 0.20):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 mit grösstem Fortschritt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Competence + Predictability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beginnt zu wachsen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Benevolence messbar verbessert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übertroffen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Bei einem Fehler in Monat 4 (EXPECTED, P = 0.55):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0.55→0.62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Aufbau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0.62→0.54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Fehler: -0.08 (Rückfall!)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0.54→0.62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(4 Monate für Kompensation)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0.62→0.70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knapp erreicht</w:t>
            </w:r>
          </w:p>
        </w:tc>
      </w:tr>
    </w:tbl>
    <w:p>
      <w:pPr>
        <w:pStyle w:val="BodyText"/>
      </w:pPr>
      <w:r>
        <w:rPr>
          <w:bCs/>
          <w:b/>
        </w:rPr>
        <w:t xml:space="preserve">Bei zwei Fehlern (WORST CASE, P = 0.25):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0.55→0.62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Aufbau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0.62→0.54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0.54→0.58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Teilweise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0.58→0.48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0.48→0.52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unvollständig: UNTER STARTWERT!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Schlüsselerkenntnis:</w:t>
      </w:r>
      <w:r>
        <w:t xml:space="preserve"> </w:t>
      </w:r>
      <w:r>
        <w:t xml:space="preserve">Die Trust-Asymmetrie (β/α = 3.5) bedeutet, dass Fehler-Prävention 3.5× wirksamer ist als Trust-Aufbau. Die wichtigste Einzelmassnahme ist nicht eine Marketing-Kampagne, sondern ein Zero-Defect-Programm.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szenario-analyse"/>
    <w:p>
      <w:pPr>
        <w:pStyle w:val="Heading2"/>
      </w:pPr>
      <w:r>
        <w:t xml:space="preserve">7. Szenario-Analyse</w:t>
      </w:r>
    </w:p>
    <w:bookmarkStart w:id="73" w:name="revenue-impact-waterfall"/>
    <w:p>
      <w:pPr>
        <w:pStyle w:val="Heading3"/>
      </w:pPr>
      <w:r>
        <w:t xml:space="preserve">7.1 Revenue Impact Waterfall</w:t>
      </w:r>
    </w:p>
    <w:bookmarkStart w:id="71" w:name="worst-case-p-0.25"/>
    <w:p>
      <w:pPr>
        <w:pStyle w:val="Heading4"/>
      </w:pPr>
      <w:r>
        <w:t xml:space="preserve">Worst Case (P = 0.25)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Basis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4’200M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Legacy Churn (12%)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−CHF 150M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Ex-CS Churn (30%)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−CHF 500M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Digital Churn (45%)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−CHF 120M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Affluent Churn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−CHF 60M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= Revenue at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−CHF 830M</w:t>
            </w:r>
          </w:p>
        </w:tc>
      </w:tr>
    </w:tbl>
    <w:bookmarkEnd w:id="71"/>
    <w:bookmarkStart w:id="72" w:name="best-case-p-0.20"/>
    <w:p>
      <w:pPr>
        <w:pStyle w:val="Heading4"/>
      </w:pPr>
      <w:r>
        <w:t xml:space="preserve">Best Case (P = 0.20)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Basis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4’200M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Legacy Activation (+8pp)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+CHF 80M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Ex-CS Trust Recovery (+20pp)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+CHF 200M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Digital Activation (+15pp)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+CHF 180M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Affluent Deepening (+10pp)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+CHF 150M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= Revenue Uplift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+CHF 610M</w:t>
            </w:r>
          </w:p>
        </w:tc>
      </w:tr>
    </w:tbl>
    <w:p>
      <w:pPr>
        <w:pStyle w:val="BodyText"/>
      </w:pPr>
      <w:r>
        <w:rPr>
          <w:bCs/>
          <w:b/>
        </w:rPr>
        <w:t xml:space="preserve">Swing:</w:t>
      </w:r>
      <w:r>
        <w:t xml:space="preserve"> </w:t>
      </w:r>
      <w:r>
        <w:t xml:space="preserve">CHF 1.44 Milliarden zwischen Worst und Best Case.</w:t>
      </w:r>
    </w:p>
    <w:bookmarkEnd w:id="72"/>
    <w:bookmarkEnd w:id="73"/>
    <w:bookmarkStart w:id="74" w:name="szenario-zusammenfassung-pro-segment"/>
    <w:p>
      <w:pPr>
        <w:pStyle w:val="Heading3"/>
      </w:pPr>
      <w:r>
        <w:t xml:space="preserve">7.2 Szenario-Zusammenfassung pro Segment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96"/>
        <w:gridCol w:w="1218"/>
        <w:gridCol w:w="1705"/>
        <w:gridCol w:w="1340"/>
        <w:gridCol w:w="25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Haupt-Risikofaktor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A=0.62 (0.20)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A=0.52 (0.55)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A=0.40 (0.25)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bLink + Passivität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Ex-CS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A=0.60 (0.15)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A=0.48 (0.50)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A=0.30 (0.35)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Trust-Fehler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A=0.68 (0.20)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A=0.55 (0.55)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A=0.38 (0.25)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Neobank-UX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Affluent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A=0.68 (0.25)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A=0.58 (0.50)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A=0.45 (0.25)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RM-Kapazität</w:t>
            </w:r>
          </w:p>
        </w:tc>
      </w:tr>
    </w:tbl>
    <w:bookmarkEnd w:id="74"/>
    <w:bookmarkStart w:id="75" w:name="monte-carlo-konfidenzintervalle"/>
    <w:p>
      <w:pPr>
        <w:pStyle w:val="Heading3"/>
      </w:pPr>
      <w:r>
        <w:t xml:space="preserve">7.3 Monte Carlo Konfidenzintervalle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Punkt-Schätzung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A_Gesamt (12 Monate)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[0.45, 0.58]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[0.38, 0.64]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τ_Ex-CS (12 Monate)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[0.60, 0.74]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[0.50, 0.78]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Churn_Digital (12 Monate)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[16%, 28%]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[11%, 38%]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+CHF 280M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[+140M, +420M]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[−50M, +610M]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1" w:name="wettbewerbs-benchmarks"/>
    <w:p>
      <w:pPr>
        <w:pStyle w:val="Heading2"/>
      </w:pPr>
      <w:r>
        <w:t xml:space="preserve">8. Wettbewerbs-Benchmarks</w:t>
      </w:r>
    </w:p>
    <w:bookmarkStart w:id="77" w:name="schweizer-banking-landscape"/>
    <w:p>
      <w:pPr>
        <w:pStyle w:val="Heading3"/>
      </w:pPr>
      <w:r>
        <w:t xml:space="preserve">8.1 Schweizer Banking Landscape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Raiffeisen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(τ)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Kund:innen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Filialen 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77"/>
    <w:bookmarkStart w:id="78" w:name="ubs-gaps"/>
    <w:p>
      <w:pPr>
        <w:pStyle w:val="Heading3"/>
      </w:pPr>
      <w:r>
        <w:t xml:space="preserve">8.2 UBS-Gaps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NPS:</w:t>
      </w:r>
      <w:r>
        <w:t xml:space="preserve"> </w:t>
      </w:r>
      <w:r>
        <w:t xml:space="preserve">38 vs. Raiffeisen 48 (−10pp) vs. Revolut ~55 (−17pp)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Trust:</w:t>
      </w:r>
      <w:r>
        <w:t xml:space="preserve"> </w:t>
      </w:r>
      <w:r>
        <w:t xml:space="preserve">0.75 vs. ZKB 0.90 (−0.15) vs. Raiffeisen 0.85 (−0.10)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Churn:</w:t>
      </w:r>
      <w:r>
        <w:t xml:space="preserve"> </w:t>
      </w:r>
      <w:r>
        <w:t xml:space="preserve">4% vs. Raiffeisen 2.5% (1.6× höher)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App-UX:</w:t>
      </w:r>
      <w:r>
        <w:t xml:space="preserve"> </w:t>
      </w:r>
      <w:r>
        <w:t xml:space="preserve">Friction 0.60 vs. Revolut ~0.15 (4× schlechter)</w:t>
      </w:r>
    </w:p>
    <w:bookmarkEnd w:id="78"/>
    <w:bookmarkStart w:id="79" w:name="ubs-stärken"/>
    <w:p>
      <w:pPr>
        <w:pStyle w:val="Heading3"/>
      </w:pPr>
      <w:r>
        <w:t xml:space="preserve">8.3 UBS-Stärken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Wealth Management:</w:t>
      </w:r>
      <w:r>
        <w:t xml:space="preserve"> </w:t>
      </w:r>
      <w:r>
        <w:t xml:space="preserve">Einziger globaler Player aus der Schweiz (USD 6.1T AuM)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Produktbreite:</w:t>
      </w:r>
      <w:r>
        <w:t xml:space="preserve"> </w:t>
      </w:r>
      <w:r>
        <w:t xml:space="preserve">5’000 Anlageprodukte, 150 Mandate-Lösungen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RM-Conversion:</w:t>
      </w:r>
      <w:r>
        <w:t xml:space="preserve"> </w:t>
      </w:r>
      <w:r>
        <w:t xml:space="preserve">3.5× höher als Digital → Affluent-Moat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AI/Data:</w:t>
      </w:r>
      <w:r>
        <w:t xml:space="preserve"> </w:t>
      </w:r>
      <w:r>
        <w:t xml:space="preserve">300+ Use Cases, USD 6.5B IT-Budget → Tech-Leader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Scale:</w:t>
      </w:r>
      <w:r>
        <w:t xml:space="preserve"> </w:t>
      </w:r>
      <w:r>
        <w:t xml:space="preserve">3.5M CH-Kund:innen (Post-CS) → grösstes Netzwerk</w:t>
      </w:r>
    </w:p>
    <w:bookmarkEnd w:id="79"/>
    <w:bookmarkStart w:id="80" w:name="strategische-positionierung"/>
    <w:p>
      <w:pPr>
        <w:pStyle w:val="Heading3"/>
      </w:pPr>
      <w:r>
        <w:t xml:space="preserve">8.4 Strategische Positionierung</w:t>
      </w:r>
    </w:p>
    <w:p>
      <w:pPr>
        <w:pStyle w:val="FirstParagraph"/>
      </w:pPr>
      <w:r>
        <w:t xml:space="preserve">UBS kann NICHT auf Trust/Community (Raiffeisen/ZKB) oder UX (Revolut) allein konkurrieren. Der Moat liegt in: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Wealth Management Excellence</w:t>
      </w:r>
      <w:r>
        <w:t xml:space="preserve"> </w:t>
      </w:r>
      <w:r>
        <w:t xml:space="preserve">(nicht kopierbar kurzfristig)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Behavioral Science Capability</w:t>
      </w:r>
      <w:r>
        <w:t xml:space="preserve"> </w:t>
      </w:r>
      <w:r>
        <w:t xml:space="preserve">(keine Schweizer Bank hat EBF-Niveau)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Convenience + Defaults</w:t>
      </w:r>
      <w:r>
        <w:t xml:space="preserve"> </w:t>
      </w:r>
      <w:r>
        <w:t xml:space="preserve">(Scale ermöglicht Personalisierung)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RM-Beziehung</w:t>
      </w:r>
      <w:r>
        <w:t xml:space="preserve"> </w:t>
      </w:r>
      <w:r>
        <w:t xml:space="preserve">(Affluent-Segment, 3.5× Conversion)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interventions-design"/>
    <w:p>
      <w:pPr>
        <w:pStyle w:val="Heading2"/>
      </w:pPr>
      <w:r>
        <w:t xml:space="preserve">9. Interventions-Design</w:t>
      </w:r>
    </w:p>
    <w:bookmarkStart w:id="86" w:name="die-4-no-regret-moves"/>
    <w:p>
      <w:pPr>
        <w:pStyle w:val="Heading3"/>
      </w:pPr>
      <w:r>
        <w:t xml:space="preserve">9.1 Die 4 No-Regret Moves</w:t>
      </w:r>
    </w:p>
    <w:bookmarkStart w:id="82" w:name="no-regret-move-1-default-architektur"/>
    <w:p>
      <w:pPr>
        <w:pStyle w:val="Heading4"/>
      </w:pPr>
      <w:r>
        <w:t xml:space="preserve">No-Regret Move #1: Default-Architektur</w:t>
      </w:r>
    </w:p>
    <w:p>
      <w:pPr>
        <w:pStyle w:val="FirstParagraph"/>
      </w:pPr>
      <w:r>
        <w:rPr>
          <w:bCs/>
          <w:b/>
        </w:rPr>
        <w:t xml:space="preserve">10C-Target:</w:t>
      </w:r>
      <w:r>
        <w:t xml:space="preserve"> </w:t>
      </w:r>
      <w:r>
        <w:t xml:space="preserve">WHEN (V) → κ_KON (Kontext-bedingte Default-Sensitivität)</w:t>
      </w:r>
    </w:p>
    <w:p>
      <w:pPr>
        <w:pStyle w:val="BodyText"/>
      </w:pPr>
      <w:r>
        <w:rPr>
          <w:bCs/>
          <w:b/>
        </w:rPr>
        <w:t xml:space="preserve">Massnahmen: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3a-Auto-Invest:</w:t>
      </w:r>
      <w:r>
        <w:t xml:space="preserve"> </w:t>
      </w:r>
      <w:r>
        <w:t xml:space="preserve">Bei Kontoeröffnung wird 3a mit Default-Portfolio vorselektiert (Opt-Out statt Opt-In). Expected: +12-15pp Adoption.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One-Click Invest:</w:t>
      </w:r>
      <w:r>
        <w:t xml:space="preserve"> </w:t>
      </w:r>
      <w:r>
        <w:t xml:space="preserve">Salary-Deposit-Triggered. «CHF 500 auf Ihr Anlagekonto?» → Default: JA, 1 Tap. Expected: +8-10pp.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Bonus-Allokator:</w:t>
      </w:r>
      <w:r>
        <w:t xml:space="preserve"> </w:t>
      </w:r>
      <w:r>
        <w:t xml:space="preserve">Bei Bonus-Eingang automatischer Vorschlag. Expected: ×1.8 Life Event Multiplier × κ = 0.85.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CHF 2-5M (App-Update) |</w:t>
      </w:r>
      <w:r>
        <w:t xml:space="preserve"> </w:t>
      </w:r>
      <w:r>
        <w:rPr>
          <w:bCs/>
          <w:b/>
        </w:rPr>
        <w:t xml:space="preserve">Revenue Impact:</w:t>
      </w:r>
      <w:r>
        <w:t xml:space="preserve"> </w:t>
      </w:r>
      <w:r>
        <w:t xml:space="preserve">+CHF 80-120M |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20-60×</w:t>
      </w:r>
    </w:p>
    <w:bookmarkEnd w:id="82"/>
    <w:bookmarkStart w:id="83" w:name="no-regret-move-2-fehler-prävention-ex-cs"/>
    <w:p>
      <w:pPr>
        <w:pStyle w:val="Heading4"/>
      </w:pPr>
      <w:r>
        <w:t xml:space="preserve">No-Regret Move #2: Fehler-Prävention (Ex-CS)</w:t>
      </w:r>
    </w:p>
    <w:p>
      <w:pPr>
        <w:pStyle w:val="FirstParagraph"/>
      </w:pPr>
      <w:r>
        <w:rPr>
          <w:bCs/>
          <w:b/>
        </w:rPr>
        <w:t xml:space="preserve">10C-Target:</w:t>
      </w:r>
      <w:r>
        <w:t xml:space="preserve"> </w:t>
      </w:r>
      <w:r>
        <w:t xml:space="preserve">HOW (B) → Trust Asymmetrie</w:t>
      </w:r>
    </w:p>
    <w:p>
      <w:pPr>
        <w:pStyle w:val="BodyText"/>
      </w:pPr>
      <w:r>
        <w:rPr>
          <w:bCs/>
          <w:b/>
        </w:rPr>
        <w:t xml:space="preserve">Massnahmen: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CS-Migration Monitoring Dashboard:</w:t>
      </w:r>
      <w:r>
        <w:t xml:space="preserve"> </w:t>
      </w:r>
      <w:r>
        <w:t xml:space="preserve">Real-time Alerts für Systemausfälle, Fehlbuchungen, Verzögerungen. Ziel: 0 unkontrollierte Fehler in 12 Monaten.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Proaktive Entschuldigung:</w:t>
      </w:r>
      <w:r>
        <w:t xml:space="preserve"> </w:t>
      </w:r>
      <w:r>
        <w:t xml:space="preserve">Bei JEDEM Fehler innerhalb 2 Stunden persönliche Nachricht + Kompensation. τ_recovery: +0.04 statt −0.08.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Weekly Consistency Signal:</w:t>
      </w:r>
      <w:r>
        <w:t xml:space="preserve"> </w:t>
      </w:r>
      <w:r>
        <w:t xml:space="preserve">Jeden Freitag kurze «Alles läuft»-Nachricht an Ex-CS. τ_predictability: +0.03/Monat.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CHF 5-10M |</w:t>
      </w:r>
      <w:r>
        <w:t xml:space="preserve"> </w:t>
      </w:r>
      <w:r>
        <w:rPr>
          <w:bCs/>
          <w:b/>
        </w:rPr>
        <w:t xml:space="preserve">Revenue Impact:</w:t>
      </w:r>
      <w:r>
        <w:t xml:space="preserve"> </w:t>
      </w:r>
      <w:r>
        <w:t xml:space="preserve">+CHF 200-500M (Revenue Protected) |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20-50×</w:t>
      </w:r>
    </w:p>
    <w:bookmarkEnd w:id="83"/>
    <w:bookmarkStart w:id="84" w:name="no-regret-move-3-app-friction-reduktion"/>
    <w:p>
      <w:pPr>
        <w:pStyle w:val="Heading4"/>
      </w:pPr>
      <w:r>
        <w:t xml:space="preserve">No-Regret Move #3: App-Friction Reduktion</w:t>
      </w:r>
    </w:p>
    <w:p>
      <w:pPr>
        <w:pStyle w:val="FirstParagraph"/>
      </w:pPr>
      <w:r>
        <w:rPr>
          <w:bCs/>
          <w:b/>
        </w:rPr>
        <w:t xml:space="preserve">10C-Target:</w:t>
      </w:r>
      <w:r>
        <w:t xml:space="preserve"> </w:t>
      </w:r>
      <w:r>
        <w:t xml:space="preserve">READY (AV) → ε↓</w:t>
      </w:r>
    </w:p>
    <w:p>
      <w:pPr>
        <w:pStyle w:val="BodyText"/>
      </w:pPr>
      <w:r>
        <w:rPr>
          <w:bCs/>
          <w:b/>
        </w:rPr>
        <w:t xml:space="preserve">Massnahmen: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Invest-Tab:</w:t>
      </w:r>
      <w:r>
        <w:t xml:space="preserve"> </w:t>
      </w:r>
      <w:r>
        <w:t xml:space="preserve">Maximal 3 Taps von Home zum ersten Investment (aktuell 7 Taps).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Micro-Learning Carousel:</w:t>
      </w:r>
      <w:r>
        <w:t xml:space="preserve"> </w:t>
      </w:r>
      <w:r>
        <w:t xml:space="preserve">30-Sekunden Finanz-Snippets im Feed (Instagram-Style).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Social Proof Badge:</w:t>
      </w:r>
      <w:r>
        <w:t xml:space="preserve"> </w:t>
      </w:r>
      <w:r>
        <w:t xml:space="preserve">«85% deiner Altersgruppe investieren» — NICHT kombinieren mit Cash Bonus!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CHF 8-15M |</w:t>
      </w:r>
      <w:r>
        <w:t xml:space="preserve"> </w:t>
      </w:r>
      <w:r>
        <w:rPr>
          <w:bCs/>
          <w:b/>
        </w:rPr>
        <w:t xml:space="preserve">Revenue Impact:</w:t>
      </w:r>
      <w:r>
        <w:t xml:space="preserve"> </w:t>
      </w:r>
      <w:r>
        <w:t xml:space="preserve">+CHF 75-120M |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5-15×</w:t>
      </w:r>
    </w:p>
    <w:bookmarkEnd w:id="84"/>
    <w:bookmarkStart w:id="85" w:name="Xbd06035b79e8d8f5b7150e78cb3f30e0b4f699d"/>
    <w:p>
      <w:pPr>
        <w:pStyle w:val="Heading4"/>
      </w:pPr>
      <w:r>
        <w:t xml:space="preserve">No-Regret Move #4: Life Event Triggered Marketing</w:t>
      </w:r>
    </w:p>
    <w:p>
      <w:pPr>
        <w:pStyle w:val="FirstParagraph"/>
      </w:pPr>
      <w:r>
        <w:rPr>
          <w:bCs/>
          <w:b/>
        </w:rPr>
        <w:t xml:space="preserve">10C-Target:</w:t>
      </w:r>
      <w:r>
        <w:t xml:space="preserve"> </w:t>
      </w:r>
      <w:r>
        <w:t xml:space="preserve">WHEN (V) → κ_JNY (Journey Timing)</w:t>
      </w:r>
    </w:p>
    <w:p>
      <w:pPr>
        <w:pStyle w:val="BodyText"/>
      </w:pPr>
      <w:r>
        <w:rPr>
          <w:bCs/>
          <w:b/>
        </w:rPr>
        <w:t xml:space="preserve">Event-Trigger-Matrix: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Salary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Invest-Nudge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(&gt;5k)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 + Anlage-Split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Push+Email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 Deadline (Nov)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Urgency-Countdown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App+Email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Erbschaft (&gt;50k)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RM-Kontakt (48h!)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RM-Call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Immobilienkauf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Hypothek-Cross-Sell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RM+Branch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CS-Migration abgeschlossen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Welcome-Journey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×1.35</w:t>
            </w:r>
          </w:p>
        </w:tc>
      </w:tr>
    </w:tbl>
    <w:p>
      <w:pPr>
        <w:pStyle w:val="BodyText"/>
      </w:pPr>
      <w:r>
        <w:rPr>
          <w:bCs/>
          <w:b/>
        </w:rPr>
        <w:t xml:space="preserve">Kosten:</w:t>
      </w:r>
      <w:r>
        <w:t xml:space="preserve"> </w:t>
      </w:r>
      <w:r>
        <w:t xml:space="preserve">CHF 3-8M |</w:t>
      </w:r>
      <w:r>
        <w:t xml:space="preserve"> </w:t>
      </w:r>
      <w:r>
        <w:rPr>
          <w:bCs/>
          <w:b/>
        </w:rPr>
        <w:t xml:space="preserve">Revenue Impact:</w:t>
      </w:r>
      <w:r>
        <w:t xml:space="preserve"> </w:t>
      </w:r>
      <w:r>
        <w:t xml:space="preserve">+CHF 60-100M |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8-33×</w:t>
      </w:r>
    </w:p>
    <w:bookmarkEnd w:id="85"/>
    <w:bookmarkEnd w:id="86"/>
    <w:bookmarkStart w:id="87" w:name="komplementaritäten-und-synergien"/>
    <w:p>
      <w:pPr>
        <w:pStyle w:val="Heading3"/>
      </w:pPr>
      <w:r>
        <w:t xml:space="preserve">9.2 Komplementaritäten und Synergien</w:t>
      </w:r>
    </w:p>
    <w:p>
      <w:pPr>
        <w:pStyle w:val="FirstParagraph"/>
      </w:pPr>
      <w:r>
        <w:rPr>
          <w:bCs/>
          <w:b/>
        </w:rPr>
        <w:t xml:space="preserve">Positive Komplementaritäten (γ &gt; 0):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× RM-Kontakt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&gt; Einzelkanal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Proof ×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Wissen + Norm = Konfidenz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× Life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+ κ = 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Consistency ×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länger, desto τ↑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3" w:name="roadmap-q1-q4-2026"/>
    <w:p>
      <w:pPr>
        <w:pStyle w:val="Heading2"/>
      </w:pPr>
      <w:r>
        <w:t xml:space="preserve">10. Roadmap Q1-Q4 2026</w:t>
      </w:r>
    </w:p>
    <w:bookmarkStart w:id="89" w:name="q1-januar-märz-defend-stabilize"/>
    <w:p>
      <w:pPr>
        <w:pStyle w:val="Heading3"/>
      </w:pPr>
      <w:r>
        <w:t xml:space="preserve">Q1 (Januar-März): DEFEND &amp; STABILIZE</w:t>
      </w:r>
    </w:p>
    <w:p>
      <w:pPr>
        <w:pStyle w:val="FirstParagraph"/>
      </w:pPr>
      <w:r>
        <w:rPr>
          <w:bCs/>
          <w:b/>
        </w:rPr>
        <w:t xml:space="preserve">Fokus:</w:t>
      </w:r>
      <w:r>
        <w:t xml:space="preserve"> </w:t>
      </w:r>
      <w:r>
        <w:t xml:space="preserve">Trust Recovery starten + Churn stoppen + Defaults deployen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Ex-CS (1.0M)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 Fehler-Prävention starten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Fehler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Weekly Consistency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τ: 0.55→0.60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(0.8M)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Bonus-Aktivierung (Jan Peak!)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+5pp Invest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Steuer-Awareness (Feb-Mär)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 +3pp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 Default-Architektur (Sprint)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κ deployed</w:t>
            </w:r>
          </w:p>
        </w:tc>
      </w:tr>
    </w:tbl>
    <w:p>
      <w:pPr>
        <w:pStyle w:val="BodyText"/>
      </w:pPr>
      <w:r>
        <w:rPr>
          <w:bCs/>
          <w:b/>
        </w:rPr>
        <w:t xml:space="preserve">Budget-Split:</w:t>
      </w:r>
      <w:r>
        <w:t xml:space="preserve"> </w:t>
      </w:r>
      <w:r>
        <w:t xml:space="preserve">Trust 40% | Digital 35% | Defaults 25%</w:t>
      </w:r>
    </w:p>
    <w:bookmarkEnd w:id="89"/>
    <w:bookmarkStart w:id="90" w:name="q2-april-juni-activate-learn"/>
    <w:p>
      <w:pPr>
        <w:pStyle w:val="Heading3"/>
      </w:pPr>
      <w:r>
        <w:t xml:space="preserve">Q2 (April-Juni): ACTIVATE &amp; LEARN</w:t>
      </w:r>
    </w:p>
    <w:p>
      <w:pPr>
        <w:pStyle w:val="FirstParagraph"/>
      </w:pPr>
      <w:r>
        <w:rPr>
          <w:bCs/>
          <w:b/>
        </w:rPr>
        <w:t xml:space="preserve">Fokus:</w:t>
      </w:r>
      <w:r>
        <w:t xml:space="preserve"> </w:t>
      </w:r>
      <w:r>
        <w:t xml:space="preserve">App-Friction senken + Benevolence-Kampagne + Growth starten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(0.8M)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 App-Friction↓ (v1 Release)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ε: 0.60→0.45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Micro-Learning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+0.15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Ex-CS (1.0M)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Benevolence-Kampagne starten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τ_B: +0.05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(1.5M)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Effectiveness (Mod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Cross-sell +3%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Affluent (0.4M)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RM×App Hybrid-Test (Pilot)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Conv. +10%</w:t>
            </w:r>
          </w:p>
        </w:tc>
      </w:tr>
    </w:tbl>
    <w:p>
      <w:pPr>
        <w:pStyle w:val="BodyText"/>
      </w:pPr>
      <w:r>
        <w:rPr>
          <w:bCs/>
          <w:b/>
        </w:rPr>
        <w:t xml:space="preserve">Budget-Split:</w:t>
      </w:r>
      <w:r>
        <w:t xml:space="preserve"> </w:t>
      </w:r>
      <w:r>
        <w:t xml:space="preserve">Digital 40% | Trust 25% | Growth 25% | Test 10%</w:t>
      </w:r>
    </w:p>
    <w:bookmarkEnd w:id="90"/>
    <w:bookmarkStart w:id="91" w:name="q3-juli-september-scale-optimize"/>
    <w:p>
      <w:pPr>
        <w:pStyle w:val="Heading3"/>
      </w:pPr>
      <w:r>
        <w:t xml:space="preserve">Q3 (Juli-September): SCALE &amp; OPTIMIZE</w:t>
      </w:r>
    </w:p>
    <w:p>
      <w:pPr>
        <w:pStyle w:val="FirstParagraph"/>
      </w:pPr>
      <w:r>
        <w:rPr>
          <w:bCs/>
          <w:b/>
        </w:rPr>
        <w:t xml:space="preserve">Fokus:</w:t>
      </w:r>
      <w:r>
        <w:t xml:space="preserve"> </w:t>
      </w:r>
      <w:r>
        <w:t xml:space="preserve">Social Proof skalieren + Life Event Engine launchen + RM-Hybrid ausrollen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(0.8M)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Proof Badge (Scale)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σ-Impact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App-Friction v2 (3→2 Taps)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ε: 0.45→0.30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(1.5M)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 Life Event Engine (Launch)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Event-Conv.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Ex-CS (1.0M)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Messaging (Scale)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τ_I: +0.08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Affluent (0.4M)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RM×App Scale (aus Pilot)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Conv. +15%</w:t>
            </w:r>
          </w:p>
        </w:tc>
      </w:tr>
    </w:tbl>
    <w:p>
      <w:pPr>
        <w:pStyle w:val="BodyText"/>
      </w:pPr>
      <w:r>
        <w:rPr>
          <w:bCs/>
          <w:b/>
        </w:rPr>
        <w:t xml:space="preserve">Budget-Split:</w:t>
      </w:r>
      <w:r>
        <w:t xml:space="preserve"> </w:t>
      </w:r>
      <w:r>
        <w:t xml:space="preserve">Scale 45% | Digital 30% | Trust 15% | Optimize 10%</w:t>
      </w:r>
    </w:p>
    <w:bookmarkEnd w:id="91"/>
    <w:bookmarkStart w:id="92" w:name="q4-oktober-dezember-harvest-prepare"/>
    <w:p>
      <w:pPr>
        <w:pStyle w:val="Heading3"/>
      </w:pPr>
      <w:r>
        <w:t xml:space="preserve">Q4 (Oktober-Dezember): HARVEST &amp; PREPARE</w:t>
      </w:r>
    </w:p>
    <w:p>
      <w:pPr>
        <w:pStyle w:val="FirstParagraph"/>
      </w:pPr>
      <w:r>
        <w:rPr>
          <w:bCs/>
          <w:b/>
        </w:rPr>
        <w:t xml:space="preserve">Fokus:</w:t>
      </w:r>
      <w:r>
        <w:t xml:space="preserve"> </w:t>
      </w:r>
      <w:r>
        <w:t xml:space="preserve">3a-Peak nutzen + Erfolg messen + 2027 planen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3a-PEAK (Nov-Dez: ×2.2!)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3a: +15pp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Bonus-Allokator (Dez-Jan)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Invest: +8pp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Ex-CS (1.0M)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Trust-Messung (τ Ziel ≥0.70?)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 ≥ 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(0.8M)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Churn-Messung (bLink-Impact?)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&lt;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Affluent (0.4M)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Year-End-Review + Deepening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Multi-Prod +5%</w:t>
            </w:r>
          </w:p>
        </w:tc>
      </w:tr>
    </w:tbl>
    <w:p>
      <w:pPr>
        <w:pStyle w:val="BodyText"/>
      </w:pPr>
      <w:r>
        <w:rPr>
          <w:bCs/>
          <w:b/>
        </w:rPr>
        <w:t xml:space="preserve">Budget-Split:</w:t>
      </w:r>
      <w:r>
        <w:t xml:space="preserve"> </w:t>
      </w:r>
      <w:r>
        <w:t xml:space="preserve">Harvest 50% | Measurement 20% | 2027 Prep 30%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budget-und-roi"/>
    <w:p>
      <w:pPr>
        <w:pStyle w:val="Heading2"/>
      </w:pPr>
      <w:r>
        <w:t xml:space="preserve">11. Budget und ROI</w:t>
      </w:r>
    </w:p>
    <w:bookmarkStart w:id="94" w:name="investment-übersicht"/>
    <w:p>
      <w:pPr>
        <w:pStyle w:val="Heading3"/>
      </w:pPr>
      <w:r>
        <w:t xml:space="preserve">11.1 Investment-Übersicht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Default-Architektur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2-5M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+CHF 80-120M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20-60×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Fehler-Prävention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5-10M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+CHF 200-500M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20-50×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App-Friction↓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8-15M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+CHF 75-120M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Event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3-8M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+CHF 60-100M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8-33×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18-38M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+CHF 415-840M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11-46×</w:t>
            </w:r>
          </w:p>
        </w:tc>
      </w:tr>
    </w:tbl>
    <w:bookmarkEnd w:id="94"/>
    <w:bookmarkStart w:id="95" w:name="X8e50b60766a1b827dd950daa5c7af80fb13a15d"/>
    <w:p>
      <w:pPr>
        <w:pStyle w:val="Heading3"/>
      </w:pPr>
      <w:r>
        <w:t xml:space="preserve">11.2 Vergleich: Behavioral vs. Traditional Marketing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13"/>
        <w:gridCol w:w="3080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Typischer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10-40×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Kosten pro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2-15M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20-50M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Wirkungseintritt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Monate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 Monate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 (A/B-testbar)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 (Attribution-Problem)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Skalierbarkeit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hoch (digital)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Begrenzt (Mediakosten)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Crowding-Out-Risiko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Dokumentiert (γ-Werte)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systematisch erfasst</w:t>
            </w:r>
          </w:p>
        </w:tc>
      </w:tr>
    </w:tbl>
    <w:bookmarkEnd w:id="95"/>
    <w:bookmarkStart w:id="96" w:name="budget-kontext"/>
    <w:p>
      <w:pPr>
        <w:pStyle w:val="Heading3"/>
      </w:pPr>
      <w:r>
        <w:t xml:space="preserve">11.3 Budget-Kontext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UBS Marketing-Budget (geschätzt):</w:t>
      </w:r>
      <w:r>
        <w:t xml:space="preserve"> </w:t>
      </w:r>
      <w:r>
        <w:t xml:space="preserve">CHF 280-570M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Behavioral Marketing Anteil:</w:t>
      </w:r>
      <w:r>
        <w:t xml:space="preserve"> </w:t>
      </w:r>
      <w:r>
        <w:t xml:space="preserve">CHF 18-38M = 3-14% des Gesamtbudgets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ROI:</w:t>
      </w:r>
      <w:r>
        <w:t xml:space="preserve"> </w:t>
      </w:r>
      <w:r>
        <w:t xml:space="preserve">11-46× → überproportionaler Return bei unterproportionalem Investment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C/I Beitrag:</w:t>
      </w:r>
      <w:r>
        <w:t xml:space="preserve"> </w:t>
      </w:r>
      <w:r>
        <w:t xml:space="preserve">Behavioral Marketing senkt Cost-to-Income, da niedrigere Kosten pro aktiviertem Kunden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risiken-und-crowding-out"/>
    <w:p>
      <w:pPr>
        <w:pStyle w:val="Heading2"/>
      </w:pPr>
      <w:r>
        <w:t xml:space="preserve">12. Risiken und Crowding-Out</w:t>
      </w:r>
    </w:p>
    <w:bookmarkStart w:id="98" w:name="verbotene-kombinationen"/>
    <w:p>
      <w:pPr>
        <w:pStyle w:val="Heading3"/>
      </w:pPr>
      <w:r>
        <w:t xml:space="preserve">12.1 Verbotene Kombinationen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60"/>
        <w:gridCol w:w="660"/>
        <w:gridCol w:w="17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Proof + Cash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zerstört 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Proof allein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Erbschaft + Financial Incentive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Pietäts-Verletzung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Empathische RM-Begleitung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Motivierter Kunde + Geld-Anreiz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Intrinsische Motivation↓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Convenience zeigen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Fear-Messaging + Low-Trust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Reaktanz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Peer-Empfehlung</w:t>
            </w:r>
          </w:p>
        </w:tc>
      </w:tr>
    </w:tbl>
    <w:bookmarkEnd w:id="98"/>
    <w:bookmarkStart w:id="99" w:name="operationelle-risiken"/>
    <w:p>
      <w:pPr>
        <w:pStyle w:val="Heading3"/>
      </w:pPr>
      <w:r>
        <w:t xml:space="preserve">12.2 Operationelle Risiken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8"/>
        <w:gridCol w:w="3370"/>
        <w:gridCol w:w="1516"/>
        <w:gridCol w:w="16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Wahrscheinlichkeit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IT-Ausfall bei Ex-CS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 −0.15 (katastrophal)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Zero-Defect-Programm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bLink-Launch früher als erwartet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+12pp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Retention-Massnahmen vorziehen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RM-Kapazitätsengpass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Affluent A↓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Digital-Hybrid statt nur 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Regulatorische Einschränkung (Defaults)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Default-Move blockiert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Opt-Out-Compliance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Neobank-Preiskampf (Revolut)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Churn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+ Value statt Preis</w:t>
            </w:r>
          </w:p>
        </w:tc>
      </w:tr>
    </w:tbl>
    <w:bookmarkEnd w:id="99"/>
    <w:bookmarkStart w:id="100" w:name="trust-spezifische-risiken"/>
    <w:p>
      <w:pPr>
        <w:pStyle w:val="Heading3"/>
      </w:pPr>
      <w:r>
        <w:t xml:space="preserve">12.3 Trust-spezifische Risiken</w:t>
      </w:r>
    </w:p>
    <w:p>
      <w:pPr>
        <w:pStyle w:val="FirstParagraph"/>
      </w:pPr>
      <w:r>
        <w:t xml:space="preserve">Die Trust-Asymmetrie (β/α = 3.5) macht das Ex-CS Segment extrem fragil: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1 unkontrollierter Fehler:</w:t>
      </w:r>
      <w:r>
        <w:t xml:space="preserve"> </w:t>
      </w:r>
      <w:r>
        <w:t xml:space="preserve">4 Monate Rückschlag, P(τ&gt;0.70 in 12M) sinkt von 0.78 auf 0.31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2 Fehler:</w:t>
      </w:r>
      <w:r>
        <w:t xml:space="preserve"> </w:t>
      </w:r>
      <w:r>
        <w:t xml:space="preserve">Recovery gefährdet, P(τ&gt;0.70) = 0.08 — praktisch unmöglich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Kommunikations-Fehler:</w:t>
      </w:r>
      <w:r>
        <w:t xml:space="preserve"> </w:t>
      </w:r>
      <w:r>
        <w:t xml:space="preserve">Ein als «aggressiv» wahrgenommenes Upselling an Ex-CS kann Trust zerstören</w:t>
      </w:r>
    </w:p>
    <w:p>
      <w:pPr>
        <w:pStyle w:val="FirstParagraph"/>
      </w:pPr>
      <w:r>
        <w:rPr>
          <w:bCs/>
          <w:b/>
        </w:rPr>
        <w:t xml:space="preserve">Eskalationsregel:</w:t>
      </w:r>
      <w:r>
        <w:t xml:space="preserve"> </w:t>
      </w:r>
      <w:r>
        <w:t xml:space="preserve">Bei τ_Ex-CS &lt; 0.50 oder Churn_Digital &gt; 35% → Krisenmodus mit Executive Attention.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kpis-und-erfolgsmessung"/>
    <w:p>
      <w:pPr>
        <w:pStyle w:val="Heading2"/>
      </w:pPr>
      <w:r>
        <w:t xml:space="preserve">13. KPIs und Erfolgsmessung</w:t>
      </w:r>
    </w:p>
    <w:bookmarkStart w:id="102" w:name="primäre-kpis"/>
    <w:p>
      <w:pPr>
        <w:pStyle w:val="Heading3"/>
      </w:pPr>
      <w:r>
        <w:t xml:space="preserve">13.1 Primäre KPIs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(Q1/26)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(Q4/26)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Messmethode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Score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 Ex-CS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+ NPS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 (Gesamt)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Quartals-Survey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Digital-Only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Konten-Tracking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3a-Penetration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Produktdaten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UX-Testing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Invest-Activation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Konten-Tracking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Uplift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+CHF 200M+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P&amp;L Attribution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 (Ex-CS)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unkontrolliert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Incident-Log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Campaign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~3-5×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Marketing-Attribution</w:t>
            </w:r>
          </w:p>
        </w:tc>
      </w:tr>
    </w:tbl>
    <w:bookmarkEnd w:id="102"/>
    <w:bookmarkStart w:id="103" w:name="review-zyklus"/>
    <w:p>
      <w:pPr>
        <w:pStyle w:val="Heading3"/>
      </w:pPr>
      <w:r>
        <w:t xml:space="preserve">13.2 Review-Zyklus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Wöchentlich:</w:t>
      </w:r>
      <w:r>
        <w:t xml:space="preserve"> </w:t>
      </w:r>
      <w:r>
        <w:t xml:space="preserve">Trust-Indikatoren (Ex-CS), Fehler-Log, App-Metrics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Monatlich:</w:t>
      </w:r>
      <w:r>
        <w:t xml:space="preserve"> </w:t>
      </w:r>
      <w:r>
        <w:t xml:space="preserve">KPI-Dashboard, Segment-Performance, Budget-Tracking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Quartalsweise:</w:t>
      </w:r>
      <w:r>
        <w:t xml:space="preserve"> </w:t>
      </w:r>
      <w:r>
        <w:t xml:space="preserve">Deep-Dive mit Szenario-Update, Roadmap-Anpassung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Halbjährlich:</w:t>
      </w:r>
      <w:r>
        <w:t xml:space="preserve"> </w:t>
      </w:r>
      <w:r>
        <w:t xml:space="preserve">Wettbewerbs-Benchmark-Update, Modell-Rekalibrierung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schlussfolgerungen-und-empfehlungen"/>
    <w:p>
      <w:pPr>
        <w:pStyle w:val="Heading2"/>
      </w:pPr>
      <w:r>
        <w:t xml:space="preserve">14. Schlussfolgerungen und Empfehlungen</w:t>
      </w:r>
    </w:p>
    <w:bookmarkStart w:id="105" w:name="die-3-wichtigsten-empfehlungen"/>
    <w:p>
      <w:pPr>
        <w:pStyle w:val="Heading3"/>
      </w:pPr>
      <w:r>
        <w:t xml:space="preserve">14.1 Die 3 wichtigsten Empfehlungen</w:t>
      </w:r>
    </w:p>
    <w:p>
      <w:pPr>
        <w:pStyle w:val="FirstParagraph"/>
      </w:pPr>
      <w:r>
        <w:rPr>
          <w:bCs/>
          <w:b/>
        </w:rPr>
        <w:t xml:space="preserve">1. Defaults vor allem anderen.</w:t>
      </w:r>
    </w:p>
    <w:p>
      <w:pPr>
        <w:pStyle w:val="BodyText"/>
      </w:pPr>
      <w:r>
        <w:t xml:space="preserve">Die Schweizer Default-Compliance (κ = 0.85) ist der mächtigste und kostengünstigste Hebel. Opt-Out-3a, One-Click-Invest und Bonus-Allokator kosten zusammen CHF 2-5M und generieren CHF 80-120M. Dies ist der höchste ROI aller Massnahmen (20-60×) und wirkt über alle Segmente hinweg.</w:t>
      </w:r>
    </w:p>
    <w:p>
      <w:pPr>
        <w:pStyle w:val="BodyText"/>
      </w:pPr>
      <w:r>
        <w:rPr>
          <w:bCs/>
          <w:b/>
        </w:rPr>
        <w:t xml:space="preserve">Empfehlung:</w:t>
      </w:r>
      <w:r>
        <w:t xml:space="preserve"> </w:t>
      </w:r>
      <w:r>
        <w:t xml:space="preserve">Sprint in Q1 2026, Deployment vor März.</w:t>
      </w:r>
    </w:p>
    <w:p>
      <w:pPr>
        <w:pStyle w:val="BodyText"/>
      </w:pPr>
      <w:r>
        <w:rPr>
          <w:bCs/>
          <w:b/>
        </w:rPr>
        <w:t xml:space="preserve">2. Fehler verhindern ist wichtiger als Vertrauen aufbauen.</w:t>
      </w:r>
    </w:p>
    <w:p>
      <w:pPr>
        <w:pStyle w:val="BodyText"/>
      </w:pPr>
      <w:r>
        <w:t xml:space="preserve">Die Trust-Asymmetrie (β/α = 3.5) bedeutet: 1 Fehler braucht 4 positive Kontakte. Im Ex-CS-Segment (CHF 500M Revenue at Risk) ist Fehler-Prävention 3.5× wirksamer als Trust-Aufbau. Das Zero-Defect-Programm ist keine IT-Massnahme — es ist die wichtigste Marketing-Investition des Jahres.</w:t>
      </w:r>
    </w:p>
    <w:p>
      <w:pPr>
        <w:pStyle w:val="BodyText"/>
      </w:pPr>
      <w:r>
        <w:rPr>
          <w:bCs/>
          <w:b/>
        </w:rPr>
        <w:t xml:space="preserve">Empfehlung:</w:t>
      </w:r>
      <w:r>
        <w:t xml:space="preserve"> </w:t>
      </w:r>
      <w:r>
        <w:t xml:space="preserve">Sofort starten, Executive Sponsorship, wöchentliches Reporting.</w:t>
      </w:r>
    </w:p>
    <w:p>
      <w:pPr>
        <w:pStyle w:val="BodyText"/>
      </w:pPr>
      <w:r>
        <w:rPr>
          <w:bCs/>
          <w:b/>
        </w:rPr>
        <w:t xml:space="preserve">3. Behavioral Marketing ist der UBS-Unique-Advantage.</w:t>
      </w:r>
    </w:p>
    <w:p>
      <w:pPr>
        <w:pStyle w:val="BodyText"/>
      </w:pPr>
      <w:r>
        <w:t xml:space="preserve">Keine andere Schweizer Bank hat EBF-Niveau Behavioral Science Capability. Bei CHF 18-38M Investment und CHF 415-840M Return (10-40× ROI) ist Behavioral Marketing die höchste ROI-Investition im gesamten Marketing-Portfolio — und gleichzeitig ein nachhaltiger Wettbewerbsvorteil.</w:t>
      </w:r>
    </w:p>
    <w:p>
      <w:pPr>
        <w:pStyle w:val="BodyText"/>
      </w:pPr>
      <w:r>
        <w:rPr>
          <w:bCs/>
          <w:b/>
        </w:rPr>
        <w:t xml:space="preserve">Empfehlung:</w:t>
      </w:r>
      <w:r>
        <w:t xml:space="preserve"> </w:t>
      </w:r>
      <w:r>
        <w:t xml:space="preserve">Behavioral Marketing als strategische Kernkompetenz positionieren, nicht als Projekt.</w:t>
      </w:r>
    </w:p>
    <w:bookmarkEnd w:id="105"/>
    <w:bookmarkStart w:id="106" w:name="nächste-schritte"/>
    <w:p>
      <w:pPr>
        <w:pStyle w:val="Heading3"/>
      </w:pPr>
      <w:r>
        <w:t xml:space="preserve">14.2 Nächste Schritte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Woche 1-2:</w:t>
      </w:r>
      <w:r>
        <w:t xml:space="preserve"> </w:t>
      </w:r>
      <w:r>
        <w:t xml:space="preserve">Default-Architektur Sprint planen (Product + UX + Legal)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Woche 1:</w:t>
      </w:r>
      <w:r>
        <w:t xml:space="preserve"> </w:t>
      </w:r>
      <w:r>
        <w:t xml:space="preserve">Zero-Defect-Programm für Ex-CS aufsetzen (IT + Operations)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Woche 3-4:</w:t>
      </w:r>
      <w:r>
        <w:t xml:space="preserve"> </w:t>
      </w:r>
      <w:r>
        <w:t xml:space="preserve">App-Friction Audit und v1 Spezifikation (Product + UX)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Monat 2:</w:t>
      </w:r>
      <w:r>
        <w:t xml:space="preserve"> </w:t>
      </w:r>
      <w:r>
        <w:t xml:space="preserve">Life Event Engine Architektur (Data + Marketing Automation)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Monat 3:</w:t>
      </w:r>
      <w:r>
        <w:t xml:space="preserve"> </w:t>
      </w:r>
      <w:r>
        <w:t xml:space="preserve">Pilot Launch (Digital-Only Segment, Deutschschweiz)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anhang-a-vollständige-parameter-tabellen"/>
    <w:p>
      <w:pPr>
        <w:pStyle w:val="Heading2"/>
      </w:pPr>
      <w:r>
        <w:t xml:space="preserve">Anhang A: Vollständige Parameter-Tabellen</w:t>
      </w:r>
    </w:p>
    <w:bookmarkStart w:id="108" w:name="a.1-segment-parameter-matrix"/>
    <w:p>
      <w:pPr>
        <w:pStyle w:val="Heading3"/>
      </w:pPr>
      <w:r>
        <w:t xml:space="preserve">A.1 Segment × Parameter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Affluent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 (Loss Aversion)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BCM2 + LLMMC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λ_Krise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Ψ_C 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 (Trust)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BCM2 CH-HUM-02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τ_Competence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UBS-Daten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τ_Predictability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UBS-Daten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τ_Integrity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UBS-Daten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τ_Benevolence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UBS-Daten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(Present Bias)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BCM2 CH-ECO-09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κ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BCM2 CH-REG-08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(Social Proof)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BCM2 CH-REG-09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σ_Peers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Ψ_S 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 (Effort Sensitivity)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UBS-Daten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ι (Identity/Brand)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UBS-Daten</w:t>
            </w:r>
          </w:p>
        </w:tc>
      </w:tr>
    </w:tbl>
    <w:bookmarkEnd w:id="108"/>
    <w:bookmarkStart w:id="109" w:name="a.2-persona-parameter-matrix"/>
    <w:p>
      <w:pPr>
        <w:pStyle w:val="Heading3"/>
      </w:pPr>
      <w:r>
        <w:t xml:space="preserve">A.2 Persona × Parameter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4" w:name="anhang-b-monte-carlo-ergebnisse"/>
    <w:p>
      <w:pPr>
        <w:pStyle w:val="Heading2"/>
      </w:pPr>
      <w:r>
        <w:t xml:space="preserve">Anhang B: Monte Carlo Ergebnisse</w:t>
      </w:r>
    </w:p>
    <w:bookmarkStart w:id="111" w:name="Xfd34078c522fefbe5c38b08f42df94c8b662a7a"/>
    <w:p>
      <w:pPr>
        <w:pStyle w:val="Heading3"/>
      </w:pPr>
      <w:r>
        <w:t xml:space="preserve">B.1 Sensitivitätsanalyse: Parameter-Einfluss auf Activation Score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Erklärte Varianz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κ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Universeller Haupthebel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 (Trust)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Segmentspezifisch (Ex-CS)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 (Effort/UX)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Digital-Only dominant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(Social)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Verstärker für andere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(Present Bias)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Events kompensieren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11"/>
    <w:bookmarkStart w:id="112" w:name="b.2-konfidenzintervalle-10000-draws"/>
    <w:p>
      <w:pPr>
        <w:pStyle w:val="Heading3"/>
      </w:pPr>
      <w:r>
        <w:t xml:space="preserve">B.2 Konfidenzintervalle (10’000 Draws)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A_Gesamt (12M)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[0.45, 0.58]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[0.38, 0.64]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τ_Ex-CS (12M)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[0.60, 0.74]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[0.50, 0.78]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Churn_Digital (12M)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[16%, 28%]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[11%, 38%]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+CHF 280M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[+140M, +420M]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[−50M, +610M]</w:t>
            </w:r>
          </w:p>
        </w:tc>
      </w:tr>
    </w:tbl>
    <w:bookmarkEnd w:id="112"/>
    <w:bookmarkStart w:id="113" w:name="b.3-robustheit"/>
    <w:p>
      <w:pPr>
        <w:pStyle w:val="Heading3"/>
      </w:pPr>
      <w:r>
        <w:t xml:space="preserve">B.3 Robustheit</w:t>
      </w:r>
    </w:p>
    <w:p>
      <w:pPr>
        <w:pStyle w:val="FirstParagraph"/>
      </w:pPr>
      <w:r>
        <w:t xml:space="preserve">In 95% der Monte-Carlo-Draws bleibt:</w:t>
      </w:r>
      <w:r>
        <w:t xml:space="preserve"> </w:t>
      </w:r>
      <w:r>
        <w:t xml:space="preserve">- Default-Architektur als #1 Hebel</w:t>
      </w:r>
      <w:r>
        <w:t xml:space="preserve"> </w:t>
      </w:r>
      <w:r>
        <w:t xml:space="preserve">- Trust Recovery als #2 für Ex-CS</w:t>
      </w:r>
      <w:r>
        <w:t xml:space="preserve"> </w:t>
      </w:r>
      <w:r>
        <w:t xml:space="preserve">- App-Friction als #3 für Digital</w:t>
      </w:r>
      <w:r>
        <w:t xml:space="preserve"> </w:t>
      </w:r>
      <w:r>
        <w:t xml:space="preserve">- Die Segment-Priorisierung (Ex-CS &gt; Digital &gt; Legacy &gt; Affluent nach Revenue-at-Risk)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anhang-c-bcm2-kontext-faktoren"/>
    <w:p>
      <w:pPr>
        <w:pStyle w:val="Heading2"/>
      </w:pPr>
      <w:r>
        <w:t xml:space="preserve">Anhang C: BCM2 Kontext-Faktoren</w:t>
      </w:r>
    </w:p>
    <w:bookmarkStart w:id="115" w:name="Xe6ccf3f4fd3f7280eb3e5814ebf773242aa1d58"/>
    <w:p>
      <w:pPr>
        <w:pStyle w:val="Heading3"/>
      </w:pPr>
      <w:r>
        <w:t xml:space="preserve">C.1 Verwendete Schweizer Kontext-Faktoren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1056"/>
        <w:gridCol w:w="1936"/>
        <w:gridCol w:w="1232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Faktor-ID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CH-REG-06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Eigentumskonzept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 (DE-CH)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 bei Vermögen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CH-REG-08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Default-Compliance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Steigend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κ Hauptquelle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CH-REG-09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Soziale-Normen-Compliance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 (DE-CH)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Validierung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CH-HUM-02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Generalisiertes Vertrauen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 Makro-Trend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CH-ETH-02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Integritätserwartung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Steigend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Messaging-Fokus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CH-MED-01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Medienvertrauen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Stark fallend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Kanal-Strategie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CH-ECO-09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Steigend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Indikator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CH-ECO-10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Anlagequote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Steigend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Marktpotenzial</w:t>
            </w:r>
          </w:p>
        </w:tc>
      </w:tr>
    </w:tbl>
    <w:bookmarkEnd w:id="115"/>
    <w:bookmarkStart w:id="116" w:name="c.2-regionale-differenzierung"/>
    <w:p>
      <w:pPr>
        <w:pStyle w:val="Heading3"/>
      </w:pPr>
      <w:r>
        <w:t xml:space="preserve">C.2 Regionale Differenzierung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26"/>
        <w:gridCol w:w="1289"/>
        <w:gridCol w:w="1289"/>
        <w:gridCol w:w="920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Implikation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κ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Stärkere Defaults in DE-CH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(Soziale Normen)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Proof effektiver in DE-CH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λ_property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Höhere Loss Aversion bei Vermögen in DE-CH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20" w:name="anhang-d-literaturverzeichnis"/>
    <w:p>
      <w:pPr>
        <w:pStyle w:val="Heading2"/>
      </w:pPr>
      <w:r>
        <w:t xml:space="preserve">Anhang D: Literaturverzeichnis</w:t>
      </w:r>
    </w:p>
    <w:bookmarkStart w:id="118" w:name="kernliteratur-direkt-parametrisierend"/>
    <w:p>
      <w:pPr>
        <w:pStyle w:val="Heading3"/>
      </w:pPr>
      <w:r>
        <w:t xml:space="preserve">Kernliteratur (direkt parametrisierend)</w:t>
      </w:r>
    </w:p>
    <w:p>
      <w:pPr>
        <w:numPr>
          <w:ilvl w:val="0"/>
          <w:numId w:val="1033"/>
        </w:numPr>
        <w:pStyle w:val="Compact"/>
      </w:pPr>
      <w:r>
        <w:t xml:space="preserve">Akerlof, G.A. &amp; Kranton, R.E. (2000). Economics and Identity.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, 115(3), 715-753.</w:t>
      </w:r>
    </w:p>
    <w:p>
      <w:pPr>
        <w:numPr>
          <w:ilvl w:val="0"/>
          <w:numId w:val="1033"/>
        </w:numPr>
        <w:pStyle w:val="Compact"/>
      </w:pPr>
      <w:r>
        <w:t xml:space="preserve">Bohnet, I. &amp; Zeckhauser, R. (2004). Trust, Risk and Betrayal.</w:t>
      </w:r>
      <w:r>
        <w:t xml:space="preserve"> </w:t>
      </w:r>
      <w:r>
        <w:rPr>
          <w:iCs/>
          <w:i/>
        </w:rPr>
        <w:t xml:space="preserve">Journal of Economic Behavior &amp; Organization</w:t>
      </w:r>
      <w:r>
        <w:t xml:space="preserve">, 55(4), 467-484.</w:t>
      </w:r>
    </w:p>
    <w:p>
      <w:pPr>
        <w:numPr>
          <w:ilvl w:val="0"/>
          <w:numId w:val="1033"/>
        </w:numPr>
        <w:pStyle w:val="Compact"/>
      </w:pPr>
      <w:r>
        <w:t xml:space="preserve">Fehr, E. &amp; Schmidt, K.M. (1999). A Theory of Fairness, Competition, and Cooperation.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, 114(3), 817-868.</w:t>
      </w:r>
    </w:p>
    <w:p>
      <w:pPr>
        <w:numPr>
          <w:ilvl w:val="0"/>
          <w:numId w:val="1033"/>
        </w:numPr>
        <w:pStyle w:val="Compact"/>
      </w:pPr>
      <w:r>
        <w:t xml:space="preserve">Kahneman, D. &amp; Tversky, A. (1979). Prospect Theory: An Analysis of Decision under Risk.</w:t>
      </w:r>
      <w:r>
        <w:t xml:space="preserve"> </w:t>
      </w:r>
      <w:r>
        <w:rPr>
          <w:iCs/>
          <w:i/>
        </w:rPr>
        <w:t xml:space="preserve">Econometrica</w:t>
      </w:r>
      <w:r>
        <w:t xml:space="preserve">, 47(2), 263-291.</w:t>
      </w:r>
    </w:p>
    <w:p>
      <w:pPr>
        <w:numPr>
          <w:ilvl w:val="0"/>
          <w:numId w:val="1033"/>
        </w:numPr>
        <w:pStyle w:val="Compact"/>
      </w:pPr>
      <w:r>
        <w:t xml:space="preserve">Klemperer, P. (1987). Markets with Consumer Switching Costs.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, 102(2), 375-394.</w:t>
      </w:r>
    </w:p>
    <w:p>
      <w:pPr>
        <w:numPr>
          <w:ilvl w:val="0"/>
          <w:numId w:val="1033"/>
        </w:numPr>
        <w:pStyle w:val="Compact"/>
      </w:pPr>
      <w:r>
        <w:t xml:space="preserve">Laibson, D. (1997). Golden Eggs and Hyperbolic Discounting.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, 112(2), 443-478.</w:t>
      </w:r>
    </w:p>
    <w:p>
      <w:pPr>
        <w:numPr>
          <w:ilvl w:val="0"/>
          <w:numId w:val="1033"/>
        </w:numPr>
        <w:pStyle w:val="Compact"/>
      </w:pPr>
      <w:r>
        <w:t xml:space="preserve">Madrian, B.C. &amp; Shea, D.F. (2001). The Power of Suggestion.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, 116(4), 1149-1187.</w:t>
      </w:r>
    </w:p>
    <w:p>
      <w:pPr>
        <w:numPr>
          <w:ilvl w:val="0"/>
          <w:numId w:val="1033"/>
        </w:numPr>
        <w:pStyle w:val="Compact"/>
      </w:pPr>
      <w:r>
        <w:t xml:space="preserve">Thaler, R.H. &amp; Sunstein, C.R. (2008).</w:t>
      </w:r>
      <w:r>
        <w:t xml:space="preserve"> </w:t>
      </w:r>
      <w:r>
        <w:rPr>
          <w:iCs/>
          <w:i/>
        </w:rPr>
        <w:t xml:space="preserve">Nudge: Improving Decisions about Health, Wealth, and Happiness</w:t>
      </w:r>
      <w:r>
        <w:t xml:space="preserve">. Yale University Press.</w:t>
      </w:r>
    </w:p>
    <w:bookmarkEnd w:id="118"/>
    <w:bookmarkStart w:id="119" w:name="erweiterte-literatur-85-papers"/>
    <w:p>
      <w:pPr>
        <w:pStyle w:val="Heading3"/>
      </w:pPr>
      <w:r>
        <w:t xml:space="preserve">Erweiterte Literatur (85+ Papers)</w:t>
      </w:r>
    </w:p>
    <w:p>
      <w:pPr>
        <w:pStyle w:val="FirstParagraph"/>
      </w:pPr>
      <w:r>
        <w:t xml:space="preserve">Vollständige Literaturliste verfügbar in der EBF-Bibliographie (</w:t>
      </w:r>
      <w:r>
        <w:rPr>
          <w:rStyle w:val="VerbatimChar"/>
        </w:rPr>
        <w:t xml:space="preserve">bibliography/bcm_master.bib</w:t>
      </w:r>
      <w:r>
        <w:t xml:space="preserve">, 2’634 Einträge).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5" w:name="anhang-e-methodik"/>
    <w:p>
      <w:pPr>
        <w:pStyle w:val="Heading2"/>
      </w:pPr>
      <w:r>
        <w:t xml:space="preserve">Anhang E: Methodik</w:t>
      </w:r>
    </w:p>
    <w:bookmarkStart w:id="121" w:name="e.1-ebf-workflow"/>
    <w:p>
      <w:pPr>
        <w:pStyle w:val="Heading3"/>
      </w:pPr>
      <w:r>
        <w:t xml:space="preserve">E.1 EBF-Workflow</w:t>
      </w:r>
    </w:p>
    <w:p>
      <w:pPr>
        <w:pStyle w:val="FirstParagraph"/>
      </w:pPr>
      <w:r>
        <w:t xml:space="preserve">Das Evidence-Based Framework (EBF) folgt einem standardisierten 9-Schritt-Workflow: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Schritt 0:</w:t>
      </w:r>
      <w:r>
        <w:t xml:space="preserve"> </w:t>
      </w:r>
      <w:r>
        <w:t xml:space="preserve">Session initialisieren (Domain, Modus)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Schritt 1:</w:t>
      </w:r>
      <w:r>
        <w:t xml:space="preserve"> </w:t>
      </w:r>
      <w:r>
        <w:t xml:space="preserve">Kontext verstehen (8 Ψ-Dimensionen)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Schritt 2:</w:t>
      </w:r>
      <w:r>
        <w:t xml:space="preserve"> </w:t>
      </w:r>
      <w:r>
        <w:t xml:space="preserve">Modell auswählen (Registry + Theory Catalog)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Schritt 3:</w:t>
      </w:r>
      <w:r>
        <w:t xml:space="preserve"> </w:t>
      </w:r>
      <w:r>
        <w:t xml:space="preserve">Parameter bestimmen (LLMMC → BCM2 → Monte Carlo)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Schritt 4:</w:t>
      </w:r>
      <w:r>
        <w:t xml:space="preserve"> </w:t>
      </w:r>
      <w:r>
        <w:t xml:space="preserve">Analyse &amp; Antwort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Schritt 5:</w:t>
      </w:r>
      <w:r>
        <w:t xml:space="preserve"> </w:t>
      </w:r>
      <w:r>
        <w:t xml:space="preserve">Intervention designen (bei Verhaltenszielen)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Schritt 6:</w:t>
      </w:r>
      <w:r>
        <w:t xml:space="preserve"> </w:t>
      </w:r>
      <w:r>
        <w:t xml:space="preserve">Bericht erstellen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Schritt 7:</w:t>
      </w:r>
      <w:r>
        <w:t xml:space="preserve"> </w:t>
      </w:r>
      <w:r>
        <w:t xml:space="preserve">Ergebnisse sichern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Schritt 8:</w:t>
      </w:r>
      <w:r>
        <w:t xml:space="preserve"> </w:t>
      </w:r>
      <w:r>
        <w:t xml:space="preserve">Qualität prüfen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Schritt 9:</w:t>
      </w:r>
      <w:r>
        <w:t xml:space="preserve"> </w:t>
      </w:r>
      <w:r>
        <w:t xml:space="preserve">Output wählen</w:t>
      </w:r>
    </w:p>
    <w:bookmarkEnd w:id="121"/>
    <w:bookmarkStart w:id="122" w:name="e.2-llmmc-llm-monte-carlo-estimation"/>
    <w:p>
      <w:pPr>
        <w:pStyle w:val="Heading3"/>
      </w:pPr>
      <w:r>
        <w:t xml:space="preserve">E.2 LLMMC (LLM Monte Carlo Estimation)</w:t>
      </w:r>
    </w:p>
    <w:p>
      <w:pPr>
        <w:pStyle w:val="FirstParagraph"/>
      </w:pPr>
      <w:r>
        <w:t xml:space="preserve">LLMMC generiert informierte Priors auf Basis von:</w:t>
      </w:r>
      <w:r>
        <w:t xml:space="preserve"> </w:t>
      </w:r>
      <w:r>
        <w:t xml:space="preserve">- Training Data (wissenschaftliche Literatur)</w:t>
      </w:r>
      <w:r>
        <w:t xml:space="preserve"> </w:t>
      </w:r>
      <w:r>
        <w:t xml:space="preserve">- Kontext-Analogien (ähnliche Situationen)</w:t>
      </w:r>
      <w:r>
        <w:t xml:space="preserve"> </w:t>
      </w:r>
      <w:r>
        <w:t xml:space="preserve">- Unsicherheitsquantifizierung (explizite Ranges)</w:t>
      </w:r>
    </w:p>
    <w:p>
      <w:pPr>
        <w:pStyle w:val="BodyText"/>
      </w:pPr>
      <w:r>
        <w:t xml:space="preserve">Diese Priors werden dann via Bayesian Updating mit BCM2-Daten (empirische Schweizer Kontext-Faktoren) zu Posteriors verfeinert.</w:t>
      </w:r>
    </w:p>
    <w:bookmarkEnd w:id="122"/>
    <w:bookmarkStart w:id="123" w:name="e.3-bcm2-kontextdatenbank"/>
    <w:p>
      <w:pPr>
        <w:pStyle w:val="Heading3"/>
      </w:pPr>
      <w:r>
        <w:t xml:space="preserve">E.3 BCM2-Kontextdatenbank</w:t>
      </w:r>
    </w:p>
    <w:p>
      <w:pPr>
        <w:pStyle w:val="FirstParagraph"/>
      </w:pPr>
      <w:r>
        <w:t xml:space="preserve">Die BCM2-Datenbank enthält 404 Schweizer Kontext-Faktoren in 5 Kategorien:</w:t>
      </w:r>
      <w:r>
        <w:t xml:space="preserve"> </w:t>
      </w:r>
      <w:r>
        <w:t xml:space="preserve">- Demografisch (60 Faktoren)</w:t>
      </w:r>
      <w:r>
        <w:t xml:space="preserve"> </w:t>
      </w:r>
      <w:r>
        <w:t xml:space="preserve">- Ökonomisch (54 Faktoren)</w:t>
      </w:r>
      <w:r>
        <w:t xml:space="preserve"> </w:t>
      </w:r>
      <w:r>
        <w:t xml:space="preserve">- Institutionell-Politisch (59 Faktoren)</w:t>
      </w:r>
      <w:r>
        <w:t xml:space="preserve"> </w:t>
      </w:r>
      <w:r>
        <w:t xml:space="preserve">- Technologisch-Ökologisch (65 Faktoren)</w:t>
      </w:r>
      <w:r>
        <w:t xml:space="preserve"> </w:t>
      </w:r>
      <w:r>
        <w:t xml:space="preserve">- Sozio-Kulturell (166 Faktoren)</w:t>
      </w:r>
    </w:p>
    <w:p>
      <w:pPr>
        <w:pStyle w:val="BodyText"/>
      </w:pPr>
      <w:r>
        <w:t xml:space="preserve">Alle Faktoren haben Quellenangaben (BFS, ESS, WVS, FehrAdvice-Studien) und Trend-Projektionen bis 2040.</w:t>
      </w:r>
    </w:p>
    <w:bookmarkEnd w:id="123"/>
    <w:bookmarkStart w:id="124" w:name="e.4-monte-carlo-simulation"/>
    <w:p>
      <w:pPr>
        <w:pStyle w:val="Heading3"/>
      </w:pPr>
      <w:r>
        <w:t xml:space="preserve">E.4 Monte Carlo Simulation</w:t>
      </w:r>
    </w:p>
    <w:p>
      <w:pPr>
        <w:pStyle w:val="FirstParagraph"/>
      </w:pPr>
      <w:r>
        <w:t xml:space="preserve">10’000 Draws aus den Posterior-Verteilungen aller Parameter, mit Korrelationsstruktur basierend auf empirischen Kovarianz-Matrizen. Sensitivitätsanalyse via Variance Decomposition (Sobol Indices).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Erstellt mit dem Evidence-Based Framework (EBF) | FehrAdvice &amp; Partners AG</w:t>
      </w:r>
      <w:r>
        <w:t xml:space="preserve"> </w:t>
      </w:r>
      <w:r>
        <w:rPr>
          <w:iCs/>
          <w:i/>
        </w:rPr>
        <w:t xml:space="preserve">Session: EBF-S-2026-02-13-FIN-001 | Alle Rechte vorbehalten</w:t>
      </w:r>
    </w:p>
    <w:bookmarkEnd w:id="124"/>
    <w:bookmarkEnd w:id="125"/>
    <w:bookmarkEnd w:id="1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UBS Growth Marketing Activation ��� EBF Behavioral Strategy Report</dc:title>
  <dc:creator>FehrAdvice &amp; Partners AG</dc:creator>
  <cp:keywords/>
  <dcterms:created xsi:type="dcterms:W3CDTF">2026-02-13T13:55:15Z</dcterms:created>
  <dcterms:modified xsi:type="dcterms:W3CDTF">2026-02-13T13:55:15Z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13. Februar 2026</vt:lpwstr>
  </property>
</Properties>
</file>