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PROPOSAL</w:t>
      </w:r>
    </w:p>
    <w:p>
      <w:pPr>
        <w:pStyle w:val="Heading1"/>
        <w:jc w:val="center"/>
      </w:pPr>
      <w:r>
        <w:t>Provider Communication Analysis: Protection &amp; Safety Positioning</w:t>
      </w:r>
    </w:p>
    <w:p/>
    <w:p>
      <w:r>
        <w:t>To: UBS AG</w:t>
      </w:r>
    </w:p>
    <w:p>
      <w:r>
        <w:t>From: FehrAdvice &amp; Partners AG</w:t>
      </w:r>
    </w:p>
    <w:p>
      <w:r>
        <w:t>Date: January 2026</w:t>
      </w:r>
    </w:p>
    <w:p>
      <w:r>
        <w:t>Reference: UBS Provider Communication Review</w:t>
      </w:r>
    </w:p>
    <w:p/>
    <w:p>
      <w:pPr>
        <w:pStyle w:val="Heading2"/>
      </w:pPr>
      <w:r>
        <w:t>1. Background</w:t>
      </w:r>
    </w:p>
    <w:p>
      <w:r>
        <w:t>Understanding how providers communicate «protection against loss» and «safety of the investment» is critical for competitive positioning. This analysis delivers actionable insights on messaging effectiveness and key performance drivers across the provider landscape.</w:t>
      </w:r>
    </w:p>
    <w:p>
      <w:pPr>
        <w:pStyle w:val="Heading2"/>
      </w:pPr>
      <w:r>
        <w:t>2. Scope of Work</w:t>
      </w:r>
    </w:p>
    <w:p>
      <w:pPr>
        <w:pStyle w:val="Heading3"/>
      </w:pPr>
      <w:r>
        <w:t>2.1 Provider Communication Review</w:t>
      </w:r>
    </w:p>
    <w:p>
      <w:r>
        <w:t>• Analysis of provider positioning on «protection against loss»</w:t>
        <w:br/>
      </w:r>
      <w:r>
        <w:t>• Review of «safety of the investment» messaging strategies</w:t>
        <w:br/>
      </w:r>
      <w:r>
        <w:t>• Identification of communication patterns and framing techniques</w:t>
      </w:r>
    </w:p>
    <w:p>
      <w:pPr>
        <w:pStyle w:val="Heading3"/>
      </w:pPr>
      <w:r>
        <w:t>2.2 Cross-Provider Comparison</w:t>
      </w:r>
    </w:p>
    <w:p>
      <w:r>
        <w:t>• Synthesis of key performance drivers across providers</w:t>
        <w:br/>
      </w:r>
      <w:r>
        <w:t>• Competitive positioning matrix</w:t>
        <w:br/>
      </w:r>
      <w:r>
        <w:t>• Recommendations for differentiation</w:t>
      </w:r>
    </w:p>
    <w:p>
      <w:pPr>
        <w:pStyle w:val="Heading2"/>
      </w:pPr>
      <w:r>
        <w:t>3. Deliverables</w:t>
      </w:r>
    </w:p>
    <w:p>
      <w:r>
        <w:t>• Executive summary with key findings</w:t>
        <w:br/>
      </w:r>
      <w:r>
        <w:t>• Cross-provider comparison matrix</w:t>
        <w:br/>
      </w:r>
      <w:r>
        <w:t>• Synthesis of performance drivers</w:t>
        <w:br/>
      </w:r>
      <w:r>
        <w:t>• Strategic recommendations</w:t>
      </w:r>
    </w:p>
    <w:p>
      <w:pPr>
        <w:pStyle w:val="Heading2"/>
      </w:pPr>
      <w:r>
        <w:t>4. Investment</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Details</w:t>
            </w:r>
          </w:p>
        </w:tc>
      </w:tr>
      <w:tr>
        <w:tc>
          <w:tcPr>
            <w:tcW w:type="dxa" w:w="4320"/>
          </w:tcPr>
          <w:p>
            <w:r>
              <w:t>Effort</w:t>
            </w:r>
          </w:p>
        </w:tc>
        <w:tc>
          <w:tcPr>
            <w:tcW w:type="dxa" w:w="4320"/>
          </w:tcPr>
          <w:p>
            <w:r>
              <w:t>1.5 consulting days</w:t>
            </w:r>
          </w:p>
        </w:tc>
      </w:tr>
      <w:tr>
        <w:tc>
          <w:tcPr>
            <w:tcW w:type="dxa" w:w="4320"/>
          </w:tcPr>
          <w:p>
            <w:r>
              <w:t>Daily rate</w:t>
            </w:r>
          </w:p>
        </w:tc>
        <w:tc>
          <w:tcPr>
            <w:tcW w:type="dxa" w:w="4320"/>
          </w:tcPr>
          <w:p>
            <w:r>
              <w:t>CHF 2'750</w:t>
            </w:r>
          </w:p>
        </w:tc>
      </w:tr>
      <w:tr>
        <w:tc>
          <w:tcPr>
            <w:tcW w:type="dxa" w:w="4320"/>
          </w:tcPr>
          <w:p>
            <w:r>
              <w:rPr>
                <w:b/>
              </w:rPr>
              <w:t>Total</w:t>
            </w:r>
          </w:p>
        </w:tc>
        <w:tc>
          <w:tcPr>
            <w:tcW w:type="dxa" w:w="4320"/>
          </w:tcPr>
          <w:p>
            <w:r>
              <w:rPr>
                <w:b/>
              </w:rPr>
              <w:t>CHF 4'125</w:t>
            </w:r>
          </w:p>
        </w:tc>
      </w:tr>
      <w:tr>
        <w:tc>
          <w:tcPr>
            <w:tcW w:type="dxa" w:w="4320"/>
          </w:tcPr>
          <w:p>
            <w:r>
              <w:t>Delivery</w:t>
            </w:r>
          </w:p>
        </w:tc>
        <w:tc>
          <w:tcPr>
            <w:tcW w:type="dxa" w:w="4320"/>
          </w:tcPr>
          <w:p>
            <w:r>
              <w:t>Monday EOD (19.01.26)</w:t>
            </w:r>
          </w:p>
        </w:tc>
      </w:tr>
    </w:tbl>
    <w:p/>
    <w:p>
      <w:pPr>
        <w:pStyle w:val="Heading2"/>
      </w:pPr>
      <w:r>
        <w:t>5. Confirmation</w:t>
      </w:r>
    </w:p>
    <w:p>
      <w:r>
        <w:t>Please confirm the additional effort of 1.5 days at a daily rate of CHF 2'750 (total CHF 4'125).</w:t>
      </w:r>
    </w:p>
    <w:p>
      <w:r>
        <w:t>We look forward to your confirmation.</w:t>
      </w:r>
    </w:p>
    <w:p/>
    <w:p/>
    <w:p>
      <w:r>
        <w:rPr>
          <w:b/>
        </w:rPr>
        <w:t>FehrAdvice &amp; Partners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