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contrat de dev d’un nouvelle plateforme pour cargolux en nars 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10 modules avec techno possiblement differentes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line="260"/>
        <w:contextualSpacing w:val="0"/>
        <w:rPr/>
      </w:pPr>
      <w:bookmarkStart w:id="0" w:colFirst="0" w:name="h.8zzwqygb8eg" w:colLast="0"/>
      <w:bookmarkEnd w:id="0"/>
      <w:r w:rsidRPr="00000000" w:rsidR="00000000" w:rsidDel="00000000">
        <w:rPr>
          <w:rFonts w:cs="Arial" w:hAnsi="Arial" w:eastAsia="Arial" w:ascii="Arial"/>
          <w:b w:val="1"/>
          <w:sz w:val="22"/>
          <w:highlight w:val="white"/>
          <w:rtl w:val="0"/>
        </w:rPr>
        <w:t xml:space="preserve">Cathy Schwartz en head HR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John Johnston en CEO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cargolux cree en 1970.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cargolux 10 eme mondiale et 1er en europe.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cree en 2004.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issu d un partenariat en cargolux et SITA.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rachat de softair et traxon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environ 400 personnes dont 100 devs.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sur lux : 120 personnes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clients : une grande partie des compagnies aeriennes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Headquartered in Luxembourg, CHAMP has offices in London, Zurich, Atlanta, Manila and Frankfurt / Main.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package 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salaire sur 13 mois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TR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30 jours de congés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plan de pension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assurance complementaire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bonus annuel 10% salaire annuel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reduc billet avion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1.8 jours de formation par 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champ cargo system.docx</dc:title>
</cp:coreProperties>
</file>