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540" w:firstLine="136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Alexis PARIS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60"/>
        <w:ind w:left="500" w:firstLine="14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Ingénieur études et développement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Date de naissance : 28/02/1981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Nationalité : Français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Connaissances Métier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Ayant travaillé pour le ministère de la justice luxembourgeoise, j’ai acquis des connaissances sur la justice criminelle.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Je possède également quelques connaissances dans le domaine de l’assurance et du transport.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Langues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Français</w:t>
        <w:tab/>
        <w:t xml:space="preserve">Langue maternelle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Anglais</w:t>
        <w:tab/>
        <w:t xml:space="preserve">Bon niveau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Allemand</w:t>
        <w:tab/>
        <w:t xml:space="preserve">Notions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Connaissances techniques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69"/>
        <w:gridCol w:w="6207"/>
        <w:tblGridChange w:id="0">
          <w:tblGrid>
            <w:gridCol w:w="3369"/>
            <w:gridCol w:w="620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Domaine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Compétences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O/S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Linux / Unix (Ubuntu 8.10, Fedora 6, FreeBSD, Red Hat Enterprise, Mandrake)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Mac OS 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Solaris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Windows (2000, XP, Vista)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Base de données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IBM DB2 v9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Derby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Access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Langages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6, Java EE 6 (EJB 3.1)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Bash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XML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Html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Visual Basic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Ada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Latex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C/C++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Outils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Netbeans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Eclipse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RAD 7.0 et 7.5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OSGi (Equinox)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Librairies Java (JPA (Hibernate, openJPA), Swing, SwingX, SWT, Spring, JUnit)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Maven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JProfiler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Subversion / CVS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Réseau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TCP, UDP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Applications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Serveurs d’application Java (Websphere 6.0 et 7.0, JOnAS)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Gimp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ArgoUML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Suites bureautiques (MS Office, Open office)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Hardware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510" w:right="0" w:hanging="339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Méthodologie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TDD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Scrum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Expérience Professionnelle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CTG Luxembourg PSF</w:t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Septembre 2008 – aujourd’hui</w:t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Ministère de la justice au LUXEMBOURG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JUCHA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Ingénieur logiciel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d’une application de gestion d’affaires judiciaires et du casier judiciaire.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Interconnexion du système de gestion des casiers avec le reseau européen.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technique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 client lourd (SWT, Jgoodies, architecture HMVC).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Packaging et déploiement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du système de gestion de données.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Mise en place d’un système de generation de documents officiels au format RTF.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de tests unitaires.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Environnement : 3 analystes, 9 développeurs et 3 testeurs.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de l’application, debugging et migration de RAD7.0 vers RAD7.5, EJB2 vers EJB3 et utilisation de JPA.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&amp; 7.0, RAD7.5, maven 2, EJB 3.0, JPA (OpenJPA), Java 6.0 et java web start, JAX-WS, JUnit, Eclipse 3.4, OSGi, SWT, Freemarker, DB2, Scrum.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Infass Systèmes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novembre 2004 – Septembre 2008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Ingénieur études et développements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Création d’une plateforme de développement J2EE et création de différents progiciels.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Conception d‘une plateforme de développement J2EE.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Développements de progiciels pour des clients du secteur de l’assurance (Siaci), du transport (Les Nouveaux Coursiers) et du travail temporaire (Bref Services).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Développements systèmes (interface utilisateur, persistence, outils d’administration) et métier (programmes de consultation et saisie de données et reporting).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 système de gestion de tâches planifiées.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Prise en charge de la maintenance et du suivi clientèle.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J2EE (EJB 2), JOnAS, DB2, Swing, JUnit, Java web start, Quartz, Xslt, Apache Fop.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ATOS ORIGIN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Février 2004 – JUIN 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Développeur stagiaire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et développement d’un logiciel de méta-modélisation basé sur AToM3 pour le compte d’Airbus.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Comparatif de performances de librairies graphiques python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Reverse engineering d’un logiciel existant (AToM3).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technique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logiciel.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Python, Gtk, Poséidon, Cygwin.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TURBOMECA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JUIN 2003 – AOUT 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Développeur stagiaire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Réalisation d’une procédure de fusion des données téléphoniques dans le cadre du raccordement du réseau Turbomeca à celui de la Snecma.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des données existantes.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Réalisation d’un processus de fusion de données à partir de macro Excel et Access.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VBA, MS Access, MS Excel, Sql, PABX.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Education &amp; Formation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Organisme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Cycle ingénieur "Automatique - Electronique - Informatique", Diplômé en spécialisation Réseaux et télécommunications.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INSA Toulouse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2001–2004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Classes préparatoires aux grandes écoles MPSI/PSI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Lycées Clémenceau/Roosevelt, Reims,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1999–2001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Bac S spécialité mathématiques (mention bien).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 Monge, Charleville-Mézières,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Formation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Organisme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Conférence Devoxx 2009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18/11/2009 – 20/11/2009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30 heures de cours d’anglais, expression orale et compréhension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  <w:rtl w:val="0"/>
      </w:rPr>
      <w:t xml:space="preserve">CTG Luxembourg PSF S.A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hyperlink r:id="rId1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Z.A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  <w:rtl w:val="0"/>
      </w:rPr>
      <w:t xml:space="preserve"> du Bourmicht – 10A, rue des mérovingiens – L-8070 Bertrange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hyperlink r:id="rId2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Tél :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+ 352 29 87 27 1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  <w:rtl w:val="0"/>
      </w:rPr>
      <w:t xml:space="preserve">Page 4 of 6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10" w:firstLine="170"/>
      </w:pPr>
      <w:rPr>
        <w:rFonts w:cs="Verdana" w:hAnsi="Verdana" w:eastAsia="Verdana" w:ascii="Verdana"/>
        <w:b w:val="0"/>
        <w:i w:val="0"/>
        <w:smallCaps w:val="0"/>
        <w:strike w:val="0"/>
        <w:color w:val="006600"/>
        <w:sz w:val="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" w:line="240" w:before="6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footer1.xml.rels><?xml version="1.0" encoding="UTF-8" standalone="yes"?><Relationships xmlns="http://schemas.openxmlformats.org/package/2006/relationships"><Relationship Target="mailto:Audrey.staebler@ctg.com" Type="http://schemas.openxmlformats.org/officeDocument/2006/relationships/hyperlink" TargetMode="External" Id="rId2"/><Relationship Target="mailto:Stephanie.hayart@ctg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2010-PARIS Alexis FR.doc.docx</dc:title>
</cp:coreProperties>
</file>