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1560"/>
        <w:gridCol w:w="273"/>
        <w:gridCol w:w="846"/>
        <w:gridCol w:w="273"/>
        <w:gridCol w:w="961"/>
        <w:gridCol w:w="559"/>
        <w:gridCol w:w="274"/>
        <w:gridCol w:w="562"/>
        <w:gridCol w:w="274"/>
        <w:gridCol w:w="810"/>
        <w:gridCol w:w="568"/>
        <w:gridCol w:w="568"/>
        <w:gridCol w:w="131"/>
        <w:gridCol w:w="133"/>
        <w:gridCol w:w="810"/>
        <w:gridCol w:w="568"/>
        <w:gridCol w:w="853"/>
        <w:gridCol w:w="128"/>
        <w:gridCol w:w="136"/>
        <w:gridCol w:w="798"/>
        <w:gridCol w:w="559"/>
        <w:gridCol w:w="562"/>
        <w:gridCol w:w="274"/>
        <w:gridCol w:w="798"/>
        <w:gridCol w:w="559"/>
        <w:gridCol w:w="553"/>
      </w:tblGrid>
      <w:tr w:rsidR="00014F9A" w:rsidRPr="00014F9A" w:rsidTr="00014F9A">
        <w:trPr>
          <w:trHeight w:val="300"/>
        </w:trPr>
        <w:tc>
          <w:tcPr>
            <w:tcW w:w="5000" w:type="pct"/>
            <w:gridSpan w:val="26"/>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Table. Deaths due to falls among adults 65 years and older in the United States, 1999-2020</w:t>
            </w:r>
          </w:p>
        </w:tc>
      </w:tr>
      <w:tr w:rsidR="00014F9A" w:rsidRPr="00014F9A" w:rsidTr="00014F9A">
        <w:trPr>
          <w:trHeight w:val="345"/>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970" w:type="pct"/>
            <w:gridSpan w:val="22"/>
            <w:tcBorders>
              <w:top w:val="nil"/>
              <w:left w:val="nil"/>
              <w:bottom w:val="single" w:sz="4" w:space="0" w:color="auto"/>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b/>
                <w:bCs/>
                <w:color w:val="000000"/>
                <w:sz w:val="19"/>
                <w:szCs w:val="19"/>
              </w:rPr>
            </w:pPr>
            <w:r w:rsidRPr="00014F9A">
              <w:rPr>
                <w:rFonts w:ascii="Times New Roman" w:eastAsia="Times New Roman" w:hAnsi="Times New Roman" w:cs="Times New Roman"/>
                <w:b/>
                <w:bCs/>
                <w:color w:val="000000"/>
                <w:sz w:val="19"/>
                <w:szCs w:val="19"/>
              </w:rPr>
              <w:t xml:space="preserve">Age-Adjusted Mortality Rate per 100,000 people (95% C.I.) </w:t>
            </w:r>
            <w:r w:rsidRPr="00014F9A">
              <w:rPr>
                <w:rFonts w:ascii="Times New Roman" w:eastAsia="Times New Roman" w:hAnsi="Times New Roman" w:cs="Times New Roman"/>
                <w:b/>
                <w:bCs/>
                <w:color w:val="000000"/>
                <w:sz w:val="19"/>
                <w:szCs w:val="19"/>
                <w:vertAlign w:val="superscript"/>
              </w:rPr>
              <w:t>1</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537" w:type="pct"/>
            <w:gridSpan w:val="8"/>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b/>
                <w:bCs/>
                <w:color w:val="000000"/>
                <w:sz w:val="19"/>
                <w:szCs w:val="19"/>
              </w:rPr>
            </w:pPr>
            <w:r w:rsidRPr="00014F9A">
              <w:rPr>
                <w:rFonts w:ascii="Times New Roman" w:eastAsia="Times New Roman" w:hAnsi="Times New Roman" w:cs="Times New Roman"/>
                <w:b/>
                <w:bCs/>
                <w:color w:val="000000"/>
                <w:sz w:val="19"/>
                <w:szCs w:val="19"/>
              </w:rPr>
              <w:t>Sex</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433" w:type="pct"/>
            <w:gridSpan w:val="7"/>
            <w:tcBorders>
              <w:top w:val="single" w:sz="4" w:space="0" w:color="auto"/>
              <w:left w:val="nil"/>
              <w:bottom w:val="nil"/>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00"/>
        </w:trPr>
        <w:tc>
          <w:tcPr>
            <w:tcW w:w="543" w:type="pct"/>
            <w:tcBorders>
              <w:top w:val="nil"/>
              <w:left w:val="single" w:sz="4" w:space="0" w:color="auto"/>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Year</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Number</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822"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Overall</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19"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Male</w:t>
            </w:r>
          </w:p>
        </w:tc>
        <w:tc>
          <w:tcPr>
            <w:tcW w:w="818" w:type="pct"/>
            <w:gridSpan w:val="4"/>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Female</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486" w:type="pct"/>
            <w:gridSpan w:val="3"/>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396" w:type="pct"/>
            <w:gridSpan w:val="2"/>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495" w:type="pct"/>
            <w:gridSpan w:val="2"/>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1999</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10,097</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29.4</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28.8</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30.0</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38.3</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37.2</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39.5</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24.3</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23.7</w:t>
            </w:r>
          </w:p>
        </w:tc>
        <w:tc>
          <w:tcPr>
            <w:tcW w:w="297"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25.0</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2020</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36,508</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69.4</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68.7</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70.1</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81.8</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80.6</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83.1</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60.4</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59.5</w:t>
            </w:r>
          </w:p>
        </w:tc>
        <w:tc>
          <w:tcPr>
            <w:tcW w:w="297"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61.2</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60"/>
        </w:trPr>
        <w:tc>
          <w:tcPr>
            <w:tcW w:w="1030" w:type="pct"/>
            <w:gridSpan w:val="4"/>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Mortality Rate Ratio</w:t>
            </w:r>
            <w:r w:rsidRPr="00014F9A">
              <w:rPr>
                <w:rFonts w:ascii="Times New Roman" w:eastAsia="Times New Roman" w:hAnsi="Times New Roman" w:cs="Times New Roman"/>
                <w:color w:val="000000"/>
                <w:sz w:val="19"/>
                <w:szCs w:val="19"/>
                <w:vertAlign w:val="superscript"/>
              </w:rPr>
              <w:t>2</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2.36</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2.39</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2.34</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2.14</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2.17</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2.10</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2.49</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2.51</w:t>
            </w:r>
          </w:p>
        </w:tc>
        <w:tc>
          <w:tcPr>
            <w:tcW w:w="297"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2.45</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00"/>
        </w:trPr>
        <w:tc>
          <w:tcPr>
            <w:tcW w:w="934" w:type="pct"/>
            <w:gridSpan w:val="3"/>
            <w:tcBorders>
              <w:top w:val="single" w:sz="4" w:space="0" w:color="auto"/>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Total Deaths</w:t>
            </w:r>
          </w:p>
        </w:tc>
        <w:tc>
          <w:tcPr>
            <w:tcW w:w="96"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822"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bookmarkStart w:id="0" w:name="_GoBack"/>
            <w:bookmarkEnd w:id="0"/>
            <w:r w:rsidRPr="00014F9A">
              <w:rPr>
                <w:rFonts w:ascii="Times New Roman" w:eastAsia="Times New Roman" w:hAnsi="Times New Roman" w:cs="Times New Roman"/>
                <w:color w:val="000000"/>
                <w:sz w:val="19"/>
                <w:szCs w:val="19"/>
              </w:rPr>
              <w:t>478,214</w:t>
            </w:r>
          </w:p>
        </w:tc>
        <w:tc>
          <w:tcPr>
            <w:tcW w:w="96"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19"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221,918</w:t>
            </w:r>
          </w:p>
        </w:tc>
        <w:tc>
          <w:tcPr>
            <w:tcW w:w="818"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256,296</w:t>
            </w:r>
          </w:p>
        </w:tc>
        <w:tc>
          <w:tcPr>
            <w:tcW w:w="83" w:type="pct"/>
            <w:gridSpan w:val="2"/>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single" w:sz="4" w:space="0" w:color="auto"/>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00"/>
        </w:trPr>
        <w:tc>
          <w:tcPr>
            <w:tcW w:w="1030" w:type="pct"/>
            <w:gridSpan w:val="4"/>
            <w:tcBorders>
              <w:top w:val="nil"/>
              <w:left w:val="single" w:sz="4" w:space="0" w:color="auto"/>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Percent of the Total</w:t>
            </w:r>
          </w:p>
        </w:tc>
        <w:tc>
          <w:tcPr>
            <w:tcW w:w="822"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w:t>
            </w:r>
          </w:p>
        </w:tc>
        <w:tc>
          <w:tcPr>
            <w:tcW w:w="96"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78" w:type="pct"/>
            <w:gridSpan w:val="3"/>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46.41</w:t>
            </w:r>
          </w:p>
        </w:tc>
        <w:tc>
          <w:tcPr>
            <w:tcW w:w="83" w:type="pct"/>
            <w:gridSpan w:val="2"/>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77" w:type="pct"/>
            <w:gridSpan w:val="3"/>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53.59</w:t>
            </w:r>
          </w:p>
        </w:tc>
        <w:tc>
          <w:tcPr>
            <w:tcW w:w="83" w:type="pct"/>
            <w:gridSpan w:val="2"/>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single" w:sz="4" w:space="0" w:color="auto"/>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60"/>
        </w:trPr>
        <w:tc>
          <w:tcPr>
            <w:tcW w:w="1030" w:type="pct"/>
            <w:gridSpan w:val="4"/>
            <w:tcBorders>
              <w:top w:val="single" w:sz="4" w:space="0" w:color="auto"/>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APC (95% C.I.) </w:t>
            </w:r>
            <w:r w:rsidRPr="00014F9A">
              <w:rPr>
                <w:rFonts w:ascii="Times New Roman" w:eastAsia="Times New Roman" w:hAnsi="Times New Roman" w:cs="Times New Roman"/>
                <w:color w:val="000000"/>
                <w:sz w:val="19"/>
                <w:szCs w:val="19"/>
                <w:vertAlign w:val="superscript"/>
              </w:rPr>
              <w:t>3</w:t>
            </w:r>
          </w:p>
        </w:tc>
        <w:tc>
          <w:tcPr>
            <w:tcW w:w="822"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3.51 (3.17-3.85)</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78" w:type="pct"/>
            <w:gridSpan w:val="3"/>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1.66 (1.27-2.05)</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77" w:type="pct"/>
            <w:gridSpan w:val="3"/>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2.48 (1.96-3.00)</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60"/>
        </w:trPr>
        <w:tc>
          <w:tcPr>
            <w:tcW w:w="1030" w:type="pct"/>
            <w:gridSpan w:val="4"/>
            <w:tcBorders>
              <w:top w:val="nil"/>
              <w:left w:val="single" w:sz="4" w:space="0" w:color="auto"/>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Significance (P-value)</w:t>
            </w:r>
            <w:r w:rsidRPr="00014F9A">
              <w:rPr>
                <w:rFonts w:ascii="Times New Roman" w:eastAsia="Times New Roman" w:hAnsi="Times New Roman" w:cs="Times New Roman"/>
                <w:color w:val="000000"/>
                <w:sz w:val="19"/>
                <w:szCs w:val="19"/>
                <w:vertAlign w:val="superscript"/>
              </w:rPr>
              <w:t>4</w:t>
            </w:r>
          </w:p>
        </w:tc>
        <w:tc>
          <w:tcPr>
            <w:tcW w:w="822"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96"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19"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818"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83" w:type="pct"/>
            <w:gridSpan w:val="2"/>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single" w:sz="4" w:space="0" w:color="auto"/>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r>
      <w:tr w:rsidR="00014F9A" w:rsidRPr="00014F9A" w:rsidTr="00014F9A">
        <w:trPr>
          <w:trHeight w:val="345"/>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970" w:type="pct"/>
            <w:gridSpan w:val="22"/>
            <w:tcBorders>
              <w:top w:val="nil"/>
              <w:left w:val="nil"/>
              <w:bottom w:val="single" w:sz="4" w:space="0" w:color="auto"/>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b/>
                <w:bCs/>
                <w:color w:val="000000"/>
                <w:sz w:val="19"/>
                <w:szCs w:val="19"/>
              </w:rPr>
            </w:pPr>
            <w:r w:rsidRPr="00014F9A">
              <w:rPr>
                <w:rFonts w:ascii="Times New Roman" w:eastAsia="Times New Roman" w:hAnsi="Times New Roman" w:cs="Times New Roman"/>
                <w:b/>
                <w:bCs/>
                <w:color w:val="000000"/>
                <w:sz w:val="19"/>
                <w:szCs w:val="19"/>
              </w:rPr>
              <w:t>Race/Ethnicity</w:t>
            </w:r>
            <w:r w:rsidRPr="00014F9A">
              <w:rPr>
                <w:rFonts w:ascii="Times New Roman" w:eastAsia="Times New Roman" w:hAnsi="Times New Roman" w:cs="Times New Roman"/>
                <w:b/>
                <w:bCs/>
                <w:color w:val="000000"/>
                <w:sz w:val="19"/>
                <w:szCs w:val="19"/>
                <w:vertAlign w:val="superscript"/>
              </w:rPr>
              <w:t>5,6</w:t>
            </w:r>
          </w:p>
        </w:tc>
      </w:tr>
      <w:tr w:rsidR="00014F9A" w:rsidRPr="00014F9A" w:rsidTr="00014F9A">
        <w:trPr>
          <w:trHeight w:val="57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822" w:type="pct"/>
            <w:gridSpan w:val="4"/>
            <w:tcBorders>
              <w:top w:val="nil"/>
              <w:left w:val="nil"/>
              <w:bottom w:val="single" w:sz="4" w:space="0" w:color="auto"/>
              <w:right w:val="nil"/>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African American</w:t>
            </w:r>
          </w:p>
        </w:tc>
        <w:tc>
          <w:tcPr>
            <w:tcW w:w="96" w:type="pct"/>
            <w:tcBorders>
              <w:top w:val="nil"/>
              <w:left w:val="nil"/>
              <w:bottom w:val="nil"/>
              <w:right w:val="nil"/>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78" w:type="pct"/>
            <w:gridSpan w:val="3"/>
            <w:tcBorders>
              <w:top w:val="single" w:sz="4" w:space="0" w:color="auto"/>
              <w:left w:val="nil"/>
              <w:bottom w:val="single" w:sz="4" w:space="0" w:color="auto"/>
              <w:right w:val="nil"/>
            </w:tcBorders>
            <w:shd w:val="clear" w:color="000000" w:fill="FFFFFF"/>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Am. Indian/Alaskan Native</w:t>
            </w:r>
          </w:p>
        </w:tc>
        <w:tc>
          <w:tcPr>
            <w:tcW w:w="83" w:type="pct"/>
            <w:gridSpan w:val="2"/>
            <w:tcBorders>
              <w:top w:val="nil"/>
              <w:left w:val="nil"/>
              <w:bottom w:val="nil"/>
              <w:right w:val="nil"/>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77" w:type="pct"/>
            <w:gridSpan w:val="3"/>
            <w:tcBorders>
              <w:top w:val="single" w:sz="4" w:space="0" w:color="auto"/>
              <w:left w:val="nil"/>
              <w:bottom w:val="single" w:sz="4" w:space="0" w:color="auto"/>
              <w:right w:val="nil"/>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Asian/Pacific Islander</w:t>
            </w:r>
          </w:p>
        </w:tc>
        <w:tc>
          <w:tcPr>
            <w:tcW w:w="83" w:type="pct"/>
            <w:gridSpan w:val="2"/>
            <w:tcBorders>
              <w:top w:val="nil"/>
              <w:left w:val="nil"/>
              <w:bottom w:val="nil"/>
              <w:right w:val="nil"/>
            </w:tcBorders>
            <w:shd w:val="clear" w:color="000000" w:fill="FFFFFF"/>
            <w:noWrap/>
            <w:vAlign w:val="center"/>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69" w:type="pct"/>
            <w:gridSpan w:val="3"/>
            <w:tcBorders>
              <w:top w:val="single" w:sz="4" w:space="0" w:color="auto"/>
              <w:left w:val="nil"/>
              <w:bottom w:val="single" w:sz="4" w:space="0" w:color="auto"/>
              <w:right w:val="nil"/>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Hispanic</w:t>
            </w:r>
          </w:p>
        </w:tc>
        <w:tc>
          <w:tcPr>
            <w:tcW w:w="96" w:type="pct"/>
            <w:tcBorders>
              <w:top w:val="nil"/>
              <w:left w:val="nil"/>
              <w:bottom w:val="nil"/>
              <w:right w:val="nil"/>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69" w:type="pct"/>
            <w:gridSpan w:val="3"/>
            <w:tcBorders>
              <w:top w:val="single" w:sz="4" w:space="0" w:color="auto"/>
              <w:left w:val="nil"/>
              <w:bottom w:val="single" w:sz="4" w:space="0" w:color="auto"/>
              <w:right w:val="single" w:sz="4" w:space="0" w:color="000000"/>
            </w:tcBorders>
            <w:shd w:val="clear" w:color="000000" w:fill="FFFFFF"/>
            <w:noWrap/>
            <w:vAlign w:val="center"/>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Whites</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486" w:type="pct"/>
            <w:gridSpan w:val="3"/>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396" w:type="pct"/>
            <w:gridSpan w:val="2"/>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495" w:type="pct"/>
            <w:gridSpan w:val="2"/>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390" w:type="pct"/>
            <w:gridSpan w:val="2"/>
            <w:tcBorders>
              <w:top w:val="single" w:sz="4" w:space="0" w:color="auto"/>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AAMR</w:t>
            </w:r>
          </w:p>
        </w:tc>
        <w:tc>
          <w:tcPr>
            <w:tcW w:w="390" w:type="pct"/>
            <w:gridSpan w:val="2"/>
            <w:tcBorders>
              <w:top w:val="single" w:sz="4" w:space="0" w:color="auto"/>
              <w:left w:val="nil"/>
              <w:bottom w:val="single" w:sz="4" w:space="0" w:color="auto"/>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95% C.I.</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1999</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16.5</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15.0</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18.1</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30.5</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20.8</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43.0</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22.9</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19.1</w:t>
            </w:r>
          </w:p>
        </w:tc>
        <w:tc>
          <w:tcPr>
            <w:tcW w:w="297"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26.7</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23.4</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20.8</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26.0</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30.8</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30.2</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31.4</w:t>
            </w:r>
          </w:p>
        </w:tc>
      </w:tr>
      <w:tr w:rsidR="00014F9A" w:rsidRPr="00014F9A" w:rsidTr="00014F9A">
        <w:trPr>
          <w:trHeight w:val="30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2020</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31.5</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29.9</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33.2</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53.6</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45.2</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62.0</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38.0</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35.6</w:t>
            </w:r>
          </w:p>
        </w:tc>
        <w:tc>
          <w:tcPr>
            <w:tcW w:w="297"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40.4</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40.5</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38.6</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42.4</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78.4</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77.6</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79.3</w:t>
            </w:r>
          </w:p>
        </w:tc>
      </w:tr>
      <w:tr w:rsidR="00014F9A" w:rsidRPr="00014F9A" w:rsidTr="00014F9A">
        <w:trPr>
          <w:trHeight w:val="360"/>
        </w:trPr>
        <w:tc>
          <w:tcPr>
            <w:tcW w:w="1030" w:type="pct"/>
            <w:gridSpan w:val="4"/>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Mortality Rate Ratio</w:t>
            </w:r>
            <w:r w:rsidRPr="00014F9A">
              <w:rPr>
                <w:rFonts w:ascii="Times New Roman" w:eastAsia="Times New Roman" w:hAnsi="Times New Roman" w:cs="Times New Roman"/>
                <w:color w:val="000000"/>
                <w:sz w:val="19"/>
                <w:szCs w:val="19"/>
                <w:vertAlign w:val="superscript"/>
              </w:rPr>
              <w:t>2</w:t>
            </w:r>
          </w:p>
        </w:tc>
        <w:tc>
          <w:tcPr>
            <w:tcW w:w="33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1.91</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1.99</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1.83</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1.76</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2.17</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1.44</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82"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1.66</w:t>
            </w:r>
          </w:p>
        </w:tc>
        <w:tc>
          <w:tcPr>
            <w:tcW w:w="19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1.86</w:t>
            </w:r>
          </w:p>
        </w:tc>
        <w:tc>
          <w:tcPr>
            <w:tcW w:w="297"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1.51</w:t>
            </w:r>
          </w:p>
        </w:tc>
        <w:tc>
          <w:tcPr>
            <w:tcW w:w="83" w:type="pct"/>
            <w:gridSpan w:val="2"/>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1.73</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1.86</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1.63</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78"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2.55</w:t>
            </w:r>
          </w:p>
        </w:tc>
        <w:tc>
          <w:tcPr>
            <w:tcW w:w="1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2.57</w:t>
            </w:r>
          </w:p>
        </w:tc>
        <w:tc>
          <w:tcPr>
            <w:tcW w:w="195" w:type="pct"/>
            <w:tcBorders>
              <w:top w:val="nil"/>
              <w:left w:val="nil"/>
              <w:bottom w:val="nil"/>
              <w:right w:val="single" w:sz="4" w:space="0" w:color="auto"/>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2.53</w:t>
            </w:r>
          </w:p>
        </w:tc>
      </w:tr>
      <w:tr w:rsidR="00014F9A" w:rsidRPr="00014F9A" w:rsidTr="00014F9A">
        <w:trPr>
          <w:trHeight w:val="300"/>
        </w:trPr>
        <w:tc>
          <w:tcPr>
            <w:tcW w:w="934" w:type="pct"/>
            <w:gridSpan w:val="3"/>
            <w:tcBorders>
              <w:top w:val="single" w:sz="4" w:space="0" w:color="auto"/>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Total Deaths</w:t>
            </w:r>
          </w:p>
        </w:tc>
        <w:tc>
          <w:tcPr>
            <w:tcW w:w="96"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822"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16,956</w:t>
            </w:r>
          </w:p>
        </w:tc>
        <w:tc>
          <w:tcPr>
            <w:tcW w:w="96"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19"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1,901</w:t>
            </w:r>
          </w:p>
        </w:tc>
        <w:tc>
          <w:tcPr>
            <w:tcW w:w="859" w:type="pct"/>
            <w:gridSpan w:val="5"/>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10,774</w:t>
            </w:r>
          </w:p>
        </w:tc>
        <w:tc>
          <w:tcPr>
            <w:tcW w:w="710"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19,779</w:t>
            </w:r>
          </w:p>
        </w:tc>
        <w:tc>
          <w:tcPr>
            <w:tcW w:w="96" w:type="pct"/>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69" w:type="pct"/>
            <w:gridSpan w:val="3"/>
            <w:tcBorders>
              <w:top w:val="single" w:sz="4" w:space="0" w:color="auto"/>
              <w:left w:val="nil"/>
              <w:bottom w:val="nil"/>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427,883</w:t>
            </w:r>
          </w:p>
        </w:tc>
      </w:tr>
      <w:tr w:rsidR="00014F9A" w:rsidRPr="00014F9A" w:rsidTr="00014F9A">
        <w:trPr>
          <w:trHeight w:val="300"/>
        </w:trPr>
        <w:tc>
          <w:tcPr>
            <w:tcW w:w="1030" w:type="pct"/>
            <w:gridSpan w:val="4"/>
            <w:tcBorders>
              <w:top w:val="nil"/>
              <w:left w:val="single" w:sz="4" w:space="0" w:color="auto"/>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Percent of the Total</w:t>
            </w:r>
          </w:p>
        </w:tc>
        <w:tc>
          <w:tcPr>
            <w:tcW w:w="822"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3.55</w:t>
            </w:r>
          </w:p>
        </w:tc>
        <w:tc>
          <w:tcPr>
            <w:tcW w:w="96"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78" w:type="pct"/>
            <w:gridSpan w:val="3"/>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0.40</w:t>
            </w:r>
          </w:p>
        </w:tc>
        <w:tc>
          <w:tcPr>
            <w:tcW w:w="83" w:type="pct"/>
            <w:gridSpan w:val="2"/>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77" w:type="pct"/>
            <w:gridSpan w:val="3"/>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2.25</w:t>
            </w:r>
          </w:p>
        </w:tc>
        <w:tc>
          <w:tcPr>
            <w:tcW w:w="83" w:type="pct"/>
            <w:gridSpan w:val="2"/>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69" w:type="pct"/>
            <w:gridSpan w:val="3"/>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4.14</w:t>
            </w:r>
          </w:p>
        </w:tc>
        <w:tc>
          <w:tcPr>
            <w:tcW w:w="96" w:type="pct"/>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669" w:type="pct"/>
            <w:gridSpan w:val="3"/>
            <w:tcBorders>
              <w:top w:val="nil"/>
              <w:left w:val="nil"/>
              <w:bottom w:val="single" w:sz="4" w:space="0" w:color="auto"/>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89.48</w:t>
            </w:r>
          </w:p>
        </w:tc>
      </w:tr>
      <w:tr w:rsidR="00014F9A" w:rsidRPr="00014F9A" w:rsidTr="00014F9A">
        <w:trPr>
          <w:trHeight w:val="360"/>
        </w:trPr>
        <w:tc>
          <w:tcPr>
            <w:tcW w:w="543" w:type="pct"/>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APC (95% C.I.) </w:t>
            </w:r>
            <w:r w:rsidRPr="00014F9A">
              <w:rPr>
                <w:rFonts w:ascii="Times New Roman" w:eastAsia="Times New Roman" w:hAnsi="Times New Roman" w:cs="Times New Roman"/>
                <w:color w:val="000000"/>
                <w:sz w:val="19"/>
                <w:szCs w:val="19"/>
                <w:vertAlign w:val="superscript"/>
              </w:rPr>
              <w:t>3</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822"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1.91 (1.52-2.30)</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19" w:type="pct"/>
            <w:gridSpan w:val="4"/>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2.61 (1.91-3.31)</w:t>
            </w:r>
          </w:p>
        </w:tc>
        <w:tc>
          <w:tcPr>
            <w:tcW w:w="859" w:type="pct"/>
            <w:gridSpan w:val="5"/>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2.09 (1.72-2.47)</w:t>
            </w:r>
          </w:p>
        </w:tc>
        <w:tc>
          <w:tcPr>
            <w:tcW w:w="806" w:type="pct"/>
            <w:gridSpan w:val="5"/>
            <w:tcBorders>
              <w:top w:val="single" w:sz="4" w:space="0" w:color="auto"/>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1.92 (1.52-2.32)</w:t>
            </w:r>
          </w:p>
        </w:tc>
        <w:tc>
          <w:tcPr>
            <w:tcW w:w="669" w:type="pct"/>
            <w:gridSpan w:val="3"/>
            <w:tcBorders>
              <w:top w:val="single" w:sz="4" w:space="0" w:color="auto"/>
              <w:left w:val="nil"/>
              <w:bottom w:val="nil"/>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3.90 (3.55-4.24)</w:t>
            </w:r>
          </w:p>
        </w:tc>
      </w:tr>
      <w:tr w:rsidR="00014F9A" w:rsidRPr="00014F9A" w:rsidTr="00014F9A">
        <w:trPr>
          <w:trHeight w:val="360"/>
        </w:trPr>
        <w:tc>
          <w:tcPr>
            <w:tcW w:w="639" w:type="pct"/>
            <w:gridSpan w:val="2"/>
            <w:tcBorders>
              <w:top w:val="nil"/>
              <w:left w:val="single" w:sz="4" w:space="0" w:color="auto"/>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P value</w:t>
            </w:r>
            <w:r w:rsidRPr="00014F9A">
              <w:rPr>
                <w:rFonts w:ascii="Times New Roman" w:eastAsia="Times New Roman" w:hAnsi="Times New Roman" w:cs="Times New Roman"/>
                <w:color w:val="000000"/>
                <w:sz w:val="19"/>
                <w:szCs w:val="19"/>
                <w:vertAlign w:val="superscript"/>
              </w:rPr>
              <w:t>4</w:t>
            </w:r>
          </w:p>
        </w:tc>
        <w:tc>
          <w:tcPr>
            <w:tcW w:w="295"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822"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96" w:type="pct"/>
            <w:tcBorders>
              <w:top w:val="nil"/>
              <w:left w:val="nil"/>
              <w:bottom w:val="nil"/>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w:t>
            </w:r>
          </w:p>
        </w:tc>
        <w:tc>
          <w:tcPr>
            <w:tcW w:w="719" w:type="pct"/>
            <w:gridSpan w:val="4"/>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859" w:type="pct"/>
            <w:gridSpan w:val="5"/>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806" w:type="pct"/>
            <w:gridSpan w:val="5"/>
            <w:tcBorders>
              <w:top w:val="nil"/>
              <w:left w:val="nil"/>
              <w:bottom w:val="single" w:sz="4" w:space="0" w:color="auto"/>
              <w:right w:val="nil"/>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c>
          <w:tcPr>
            <w:tcW w:w="669" w:type="pct"/>
            <w:gridSpan w:val="3"/>
            <w:tcBorders>
              <w:top w:val="nil"/>
              <w:left w:val="nil"/>
              <w:bottom w:val="single" w:sz="4" w:space="0" w:color="auto"/>
              <w:right w:val="single" w:sz="4" w:space="0" w:color="000000"/>
            </w:tcBorders>
            <w:shd w:val="clear" w:color="000000" w:fill="FFFFFF"/>
            <w:noWrap/>
            <w:vAlign w:val="bottom"/>
            <w:hideMark/>
          </w:tcPr>
          <w:p w:rsidR="00014F9A" w:rsidRPr="00014F9A" w:rsidRDefault="00014F9A" w:rsidP="00014F9A">
            <w:pPr>
              <w:spacing w:after="0" w:line="240" w:lineRule="auto"/>
              <w:jc w:val="center"/>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&lt; 0.001</w:t>
            </w:r>
          </w:p>
        </w:tc>
      </w:tr>
      <w:tr w:rsidR="00014F9A" w:rsidRPr="00014F9A" w:rsidTr="00014F9A">
        <w:trPr>
          <w:trHeight w:val="300"/>
        </w:trPr>
        <w:tc>
          <w:tcPr>
            <w:tcW w:w="5000" w:type="pct"/>
            <w:gridSpan w:val="26"/>
            <w:tcBorders>
              <w:top w:val="single" w:sz="4" w:space="0" w:color="auto"/>
              <w:left w:val="single" w:sz="4" w:space="0" w:color="auto"/>
              <w:bottom w:val="nil"/>
              <w:right w:val="single" w:sz="4" w:space="0" w:color="000000"/>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1. Abbreviated as AAMR and including 95% Confidence Interval in parentheses (95% C.I.). </w:t>
            </w:r>
          </w:p>
        </w:tc>
      </w:tr>
      <w:tr w:rsidR="00014F9A" w:rsidRPr="00014F9A" w:rsidTr="00014F9A">
        <w:trPr>
          <w:trHeight w:val="300"/>
        </w:trPr>
        <w:tc>
          <w:tcPr>
            <w:tcW w:w="5000" w:type="pct"/>
            <w:gridSpan w:val="26"/>
            <w:tcBorders>
              <w:top w:val="nil"/>
              <w:left w:val="single" w:sz="4" w:space="0" w:color="auto"/>
              <w:bottom w:val="nil"/>
              <w:right w:val="single" w:sz="4" w:space="0" w:color="000000"/>
            </w:tcBorders>
            <w:shd w:val="clear" w:color="000000" w:fill="FFFFFF"/>
            <w:noWrap/>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2. MRR &gt; 1 represent an increase in the AAMR in 2020 when compared to 1999. The accompanying values are the MRRs for the 95% C.I. of the AAMR.  </w:t>
            </w:r>
          </w:p>
        </w:tc>
      </w:tr>
      <w:tr w:rsidR="00014F9A" w:rsidRPr="00014F9A" w:rsidTr="00014F9A">
        <w:trPr>
          <w:trHeight w:val="300"/>
        </w:trPr>
        <w:tc>
          <w:tcPr>
            <w:tcW w:w="5000" w:type="pct"/>
            <w:gridSpan w:val="26"/>
            <w:tcBorders>
              <w:top w:val="nil"/>
              <w:left w:val="single" w:sz="4" w:space="0" w:color="auto"/>
              <w:bottom w:val="nil"/>
              <w:right w:val="single" w:sz="4" w:space="0" w:color="000000"/>
            </w:tcBorders>
            <w:shd w:val="clear" w:color="000000" w:fill="FFFFFF"/>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3. Annual Percent Change with corresponding 95% C.I.</w:t>
            </w:r>
          </w:p>
        </w:tc>
      </w:tr>
      <w:tr w:rsidR="00014F9A" w:rsidRPr="00014F9A" w:rsidTr="00014F9A">
        <w:trPr>
          <w:trHeight w:val="300"/>
        </w:trPr>
        <w:tc>
          <w:tcPr>
            <w:tcW w:w="5000" w:type="pct"/>
            <w:gridSpan w:val="26"/>
            <w:tcBorders>
              <w:top w:val="nil"/>
              <w:left w:val="single" w:sz="4" w:space="0" w:color="auto"/>
              <w:bottom w:val="nil"/>
              <w:right w:val="single" w:sz="4" w:space="0" w:color="000000"/>
            </w:tcBorders>
            <w:shd w:val="clear" w:color="000000" w:fill="FFFFFF"/>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4. P values </w:t>
            </w:r>
            <w:proofErr w:type="gramStart"/>
            <w:r w:rsidRPr="00014F9A">
              <w:rPr>
                <w:rFonts w:ascii="Times New Roman" w:eastAsia="Times New Roman" w:hAnsi="Times New Roman" w:cs="Times New Roman"/>
                <w:color w:val="000000"/>
                <w:sz w:val="19"/>
                <w:szCs w:val="19"/>
              </w:rPr>
              <w:t>are based</w:t>
            </w:r>
            <w:proofErr w:type="gramEnd"/>
            <w:r w:rsidRPr="00014F9A">
              <w:rPr>
                <w:rFonts w:ascii="Times New Roman" w:eastAsia="Times New Roman" w:hAnsi="Times New Roman" w:cs="Times New Roman"/>
                <w:color w:val="000000"/>
                <w:sz w:val="19"/>
                <w:szCs w:val="19"/>
              </w:rPr>
              <w:t xml:space="preserve"> on a t-test that the differences in the annual percent change is 0 with 20 degrees of freedom. </w:t>
            </w:r>
          </w:p>
        </w:tc>
      </w:tr>
      <w:tr w:rsidR="00014F9A" w:rsidRPr="00014F9A" w:rsidTr="00014F9A">
        <w:trPr>
          <w:trHeight w:val="525"/>
        </w:trPr>
        <w:tc>
          <w:tcPr>
            <w:tcW w:w="5000" w:type="pct"/>
            <w:gridSpan w:val="26"/>
            <w:tcBorders>
              <w:top w:val="nil"/>
              <w:left w:val="single" w:sz="4" w:space="0" w:color="auto"/>
              <w:bottom w:val="nil"/>
              <w:right w:val="single" w:sz="4" w:space="0" w:color="000000"/>
            </w:tcBorders>
            <w:shd w:val="clear" w:color="000000" w:fill="FFFFFF"/>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5.  Patterns by race/ethnicity </w:t>
            </w:r>
            <w:proofErr w:type="gramStart"/>
            <w:r w:rsidRPr="00014F9A">
              <w:rPr>
                <w:rFonts w:ascii="Times New Roman" w:eastAsia="Times New Roman" w:hAnsi="Times New Roman" w:cs="Times New Roman"/>
                <w:color w:val="000000"/>
                <w:sz w:val="19"/>
                <w:szCs w:val="19"/>
              </w:rPr>
              <w:t>were studied</w:t>
            </w:r>
            <w:proofErr w:type="gramEnd"/>
            <w:r w:rsidRPr="00014F9A">
              <w:rPr>
                <w:rFonts w:ascii="Times New Roman" w:eastAsia="Times New Roman" w:hAnsi="Times New Roman" w:cs="Times New Roman"/>
                <w:color w:val="000000"/>
                <w:sz w:val="19"/>
                <w:szCs w:val="19"/>
              </w:rPr>
              <w:t xml:space="preserve"> due to call for such analyses found in existing literature (See Han, Ferris and Blaum (2014). CDC provided information following 1977 OMB standards on race and ethnicity. All groups are composed of non-Hispanic decedents, and all Hispanic decedents are included as a separate group.</w:t>
            </w:r>
          </w:p>
        </w:tc>
      </w:tr>
      <w:tr w:rsidR="00014F9A" w:rsidRPr="00014F9A" w:rsidTr="00014F9A">
        <w:trPr>
          <w:trHeight w:val="300"/>
        </w:trPr>
        <w:tc>
          <w:tcPr>
            <w:tcW w:w="5000" w:type="pct"/>
            <w:gridSpan w:val="26"/>
            <w:tcBorders>
              <w:top w:val="nil"/>
              <w:left w:val="single" w:sz="4" w:space="0" w:color="auto"/>
              <w:bottom w:val="single" w:sz="4" w:space="0" w:color="auto"/>
              <w:right w:val="single" w:sz="4" w:space="0" w:color="000000"/>
            </w:tcBorders>
            <w:shd w:val="clear" w:color="000000" w:fill="FFFFFF"/>
            <w:vAlign w:val="bottom"/>
            <w:hideMark/>
          </w:tcPr>
          <w:p w:rsidR="00014F9A" w:rsidRPr="00014F9A" w:rsidRDefault="00014F9A" w:rsidP="00014F9A">
            <w:pPr>
              <w:spacing w:after="0" w:line="240" w:lineRule="auto"/>
              <w:rPr>
                <w:rFonts w:ascii="Times New Roman" w:eastAsia="Times New Roman" w:hAnsi="Times New Roman" w:cs="Times New Roman"/>
                <w:color w:val="000000"/>
                <w:sz w:val="19"/>
                <w:szCs w:val="19"/>
              </w:rPr>
            </w:pPr>
            <w:r w:rsidRPr="00014F9A">
              <w:rPr>
                <w:rFonts w:ascii="Times New Roman" w:eastAsia="Times New Roman" w:hAnsi="Times New Roman" w:cs="Times New Roman"/>
                <w:color w:val="000000"/>
                <w:sz w:val="19"/>
                <w:szCs w:val="19"/>
              </w:rPr>
              <w:t xml:space="preserve">6. 1,384 deaths </w:t>
            </w:r>
            <w:proofErr w:type="gramStart"/>
            <w:r w:rsidRPr="00014F9A">
              <w:rPr>
                <w:rFonts w:ascii="Times New Roman" w:eastAsia="Times New Roman" w:hAnsi="Times New Roman" w:cs="Times New Roman"/>
                <w:color w:val="000000"/>
                <w:sz w:val="19"/>
                <w:szCs w:val="19"/>
              </w:rPr>
              <w:t>were excluded</w:t>
            </w:r>
            <w:proofErr w:type="gramEnd"/>
            <w:r w:rsidRPr="00014F9A">
              <w:rPr>
                <w:rFonts w:ascii="Times New Roman" w:eastAsia="Times New Roman" w:hAnsi="Times New Roman" w:cs="Times New Roman"/>
                <w:color w:val="000000"/>
                <w:sz w:val="19"/>
                <w:szCs w:val="19"/>
              </w:rPr>
              <w:t xml:space="preserve"> from the racial/ethnic analysis due to not having their Hispanic ethnicity stated in the death certificate. </w:t>
            </w:r>
          </w:p>
        </w:tc>
      </w:tr>
    </w:tbl>
    <w:p w:rsidR="00AB267B" w:rsidRDefault="00AB267B"/>
    <w:sectPr w:rsidR="00AB267B" w:rsidSect="00A4191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1A"/>
    <w:rsid w:val="00014F9A"/>
    <w:rsid w:val="00A4191A"/>
    <w:rsid w:val="00AB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3D0E"/>
  <w15:chartTrackingRefBased/>
  <w15:docId w15:val="{0DEC346B-2406-4BCD-8AE8-AE54345A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21600">
      <w:bodyDiv w:val="1"/>
      <w:marLeft w:val="0"/>
      <w:marRight w:val="0"/>
      <w:marTop w:val="0"/>
      <w:marBottom w:val="0"/>
      <w:divBdr>
        <w:top w:val="none" w:sz="0" w:space="0" w:color="auto"/>
        <w:left w:val="none" w:sz="0" w:space="0" w:color="auto"/>
        <w:bottom w:val="none" w:sz="0" w:space="0" w:color="auto"/>
        <w:right w:val="none" w:sz="0" w:space="0" w:color="auto"/>
      </w:divBdr>
    </w:div>
    <w:div w:id="714474241">
      <w:bodyDiv w:val="1"/>
      <w:marLeft w:val="0"/>
      <w:marRight w:val="0"/>
      <w:marTop w:val="0"/>
      <w:marBottom w:val="0"/>
      <w:divBdr>
        <w:top w:val="none" w:sz="0" w:space="0" w:color="auto"/>
        <w:left w:val="none" w:sz="0" w:space="0" w:color="auto"/>
        <w:bottom w:val="none" w:sz="0" w:space="0" w:color="auto"/>
        <w:right w:val="none" w:sz="0" w:space="0" w:color="auto"/>
      </w:divBdr>
    </w:div>
    <w:div w:id="91521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2</cp:revision>
  <dcterms:created xsi:type="dcterms:W3CDTF">2023-01-12T06:15:00Z</dcterms:created>
  <dcterms:modified xsi:type="dcterms:W3CDTF">2023-02-11T02:57:00Z</dcterms:modified>
</cp:coreProperties>
</file>