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240" w:lineRule="auto"/>
        <w:jc w:val="center"/>
        <w:rPr>
          <w:rFonts w:ascii="Roboto" w:cs="Roboto" w:eastAsia="Roboto" w:hAnsi="Roboto"/>
          <w:b w:val="1"/>
          <w:bCs w:val="1"/>
          <w:color w:val="111827"/>
          <w:sz w:val="46"/>
          <w:szCs w:val="46"/>
        </w:rPr>
      </w:pPr>
      <w:r w:rsidDel="00000000" w:rsidR="00000000" w:rsidRPr="00000000">
        <w:rPr>
          <w:rFonts w:ascii="Roboto" w:cs="Roboto" w:eastAsia="Roboto" w:hAnsi="Roboto"/>
          <w:b w:val="1"/>
          <w:bCs w:val="1"/>
          <w:color w:val="111827"/>
          <w:sz w:val="46"/>
          <w:szCs w:val="46"/>
          <w:rtl w:val="0"/>
        </w:rPr>
        <w:t xml:space="preserve">Zoom #1: AI Summary</w:t>
      </w:r>
    </w:p>
    <w:p w:rsidR="00000000" w:rsidDel="00000000" w:rsidP="00000000" w:rsidRDefault="00000000" w:rsidRPr="00000000" w14:paraId="00000002">
      <w:pPr>
        <w:shd w:fill="ffffff" w:val="clear"/>
        <w:spacing w:before="240" w:lineRule="auto"/>
        <w:rPr>
          <w:rFonts w:ascii="Roboto" w:cs="Roboto" w:eastAsia="Roboto" w:hAnsi="Roboto"/>
          <w:b w:val="1"/>
          <w:bCs w:val="1"/>
          <w:color w:val="2a2b2d"/>
          <w:sz w:val="54"/>
          <w:szCs w:val="54"/>
        </w:rPr>
      </w:pPr>
      <w:r w:rsidDel="00000000" w:rsidR="00000000" w:rsidRPr="00000000">
        <w:rPr>
          <w:rFonts w:ascii="Roboto" w:cs="Roboto" w:eastAsia="Roboto" w:hAnsi="Roboto"/>
          <w:color w:val="111827"/>
          <w:sz w:val="24"/>
          <w:szCs w:val="24"/>
          <w:rtl w:val="0"/>
        </w:rPr>
        <w:t xml:space="preserve">Video Source: </w:t>
      </w:r>
      <w:hyperlink r:id="rId6">
        <w:r w:rsidDel="00000000" w:rsidR="00000000" w:rsidRPr="00000000">
          <w:rPr>
            <w:rFonts w:ascii="Roboto" w:cs="Roboto" w:eastAsia="Roboto" w:hAnsi="Roboto"/>
            <w:color w:val="1155cc"/>
            <w:sz w:val="24"/>
            <w:szCs w:val="24"/>
            <w:u w:val="single"/>
            <w:rtl w:val="0"/>
          </w:rPr>
          <w:t xml:space="preserve">https://youtu.be/sISZoYTh1SY</w:t>
        </w:r>
      </w:hyperlink>
      <w:r w:rsidDel="00000000" w:rsidR="00000000" w:rsidRPr="00000000">
        <w:rPr>
          <w:rFonts w:ascii="Roboto" w:cs="Roboto" w:eastAsia="Roboto" w:hAnsi="Roboto"/>
          <w:color w:val="111827"/>
          <w:sz w:val="24"/>
          <w:szCs w:val="24"/>
          <w:rtl w:val="0"/>
        </w:rPr>
        <w:t xml:space="preserve"> </w:t>
        <w:br w:type="textWrapping"/>
        <w:br w:type="textWrapping"/>
      </w:r>
      <w:r w:rsidDel="00000000" w:rsidR="00000000" w:rsidRPr="00000000">
        <w:rPr>
          <w:rFonts w:ascii="Roboto" w:cs="Roboto" w:eastAsia="Roboto" w:hAnsi="Roboto"/>
          <w:b w:val="1"/>
          <w:bCs w:val="1"/>
          <w:color w:val="2a2b2d"/>
          <w:sz w:val="54"/>
          <w:szCs w:val="54"/>
          <w:rtl w:val="0"/>
        </w:rPr>
        <w:t xml:space="preserve">📌 Summary</w:t>
      </w:r>
    </w:p>
    <w:p w:rsidR="00000000" w:rsidDel="00000000" w:rsidP="00000000" w:rsidRDefault="00000000" w:rsidRPr="00000000" w14:paraId="0000000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color w:val="2a2b2d"/>
          <w:sz w:val="24"/>
          <w:szCs w:val="24"/>
          <w:rtl w:val="0"/>
        </w:rPr>
        <w:t xml:space="preserve">MinneMUDAC 2026 centers on a real-world analytics challenge for The Food Group, a Minnesota nonprofit working across food access, food shelves, emerging farming, and affordable grocery programs. The central analytical problem is understanding where food need and observed demand align or differ, including people whose needs never appear in food-shelf usage data. Teams should approach The Food Group as a client and produce actionable, explainable recommendations.</w:t>
        <w:br w:type="textWrapping"/>
      </w:r>
    </w:p>
    <w:p w:rsidR="00000000" w:rsidDel="00000000" w:rsidP="00000000" w:rsidRDefault="00000000" w:rsidRPr="00000000" w14:paraId="0000000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2a2b2d"/>
          <w:sz w:val="24"/>
          <w:szCs w:val="24"/>
          <w:rtl w:val="0"/>
        </w:rPr>
        <w:t xml:space="preserve">Teams receive Food Group datasets covering food-shelf activity, call-center activity, MarketBucks participation, and organizations. All teams must also obtain and cite Feeding America Map the Meal Gap data; undergraduate and graduate teams will need additional outside data for some questions. Major topics include need versus demand, food prices, SNAP enrollment, forecasting, and—for some divisions—calls, farmers markets, and geographic access. Teams must justify data sources, assumptions, models, and methodological tradeoffs.</w:t>
        <w:br w:type="textWrapping"/>
      </w:r>
      <w:r w:rsidDel="00000000" w:rsidR="00000000" w:rsidRPr="00000000">
        <w:rPr>
          <w:rtl w:val="0"/>
        </w:rPr>
      </w:r>
    </w:p>
    <w:p w:rsidR="00000000" w:rsidDel="00000000" w:rsidP="00000000" w:rsidRDefault="00000000" w:rsidRPr="00000000" w14:paraId="0000000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color w:val="2a2b2d"/>
          <w:sz w:val="24"/>
          <w:szCs w:val="24"/>
          <w:rtl w:val="0"/>
        </w:rPr>
        <w:t xml:space="preserve">The competition culminates on October 17th at St. Catherine University in St. Paul. The main deliverable is a 5–7 minute presentation to judges, with teams evaluated within novice, undergraduate, and graduate divisions using separate weighted rubrics. For the forecasting task, teams must exclude all August data and use data only through the end of July. AI tools are permitted, but teams must understand and defend their work. Nonpublic raw Food Group data must remain in a password-protected/private location and must not be published publicly.</w:t>
      </w:r>
      <w:r w:rsidDel="00000000" w:rsidR="00000000" w:rsidRPr="00000000">
        <w:rPr>
          <w:rtl w:val="0"/>
        </w:rPr>
      </w:r>
    </w:p>
    <w:p w:rsidR="00000000" w:rsidDel="00000000" w:rsidP="00000000" w:rsidRDefault="00000000" w:rsidRPr="00000000" w14:paraId="0000000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4"/>
          <w:szCs w:val="54"/>
        </w:rPr>
      </w:pPr>
      <w:bookmarkStart w:colFirst="0" w:colLast="0" w:name="_1ojbenvot2l" w:id="0"/>
      <w:bookmarkEnd w:id="0"/>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4"/>
          <w:szCs w:val="54"/>
        </w:rPr>
      </w:pPr>
      <w:bookmarkStart w:colFirst="0" w:colLast="0" w:name="_a60kec6262kn" w:id="1"/>
      <w:bookmarkEnd w:id="1"/>
      <w:r w:rsidDel="00000000" w:rsidR="00000000" w:rsidRPr="00000000">
        <w:rPr>
          <w:rFonts w:ascii="Roboto" w:cs="Roboto" w:eastAsia="Roboto" w:hAnsi="Roboto"/>
          <w:b w:val="1"/>
          <w:bCs w:val="1"/>
          <w:color w:val="2a2b2d"/>
          <w:sz w:val="54"/>
          <w:szCs w:val="54"/>
          <w:rtl w:val="0"/>
        </w:rPr>
        <w:t xml:space="preserve">🎯 Key Takeaways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after="260" w:line="360" w:lineRule="auto"/>
        <w:rPr>
          <w:rFonts w:ascii="Roboto" w:cs="Roboto" w:eastAsia="Roboto" w:hAnsi="Roboto"/>
          <w:color w:val="323539"/>
          <w:sz w:val="24"/>
          <w:szCs w:val="24"/>
          <w:shd w:fill="dfeaff" w:val="clear"/>
        </w:rPr>
      </w:pPr>
      <w:r w:rsidDel="00000000" w:rsidR="00000000" w:rsidRPr="00000000">
        <w:rPr>
          <w:rFonts w:ascii="Roboto" w:cs="Roboto" w:eastAsia="Roboto" w:hAnsi="Roboto"/>
          <w:color w:val="2a2b2d"/>
          <w:sz w:val="24"/>
          <w:szCs w:val="24"/>
          <w:rtl w:val="0"/>
        </w:rPr>
        <w:t xml:space="preserve">The main points from the MinneMUDAC 2026 competition launch are: </w:t>
      </w:r>
      <w:r w:rsidDel="00000000" w:rsidR="00000000" w:rsidRPr="00000000">
        <w:rPr>
          <w:rtl w:val="0"/>
        </w:rPr>
      </w:r>
    </w:p>
    <w:p w:rsidR="00000000" w:rsidDel="00000000" w:rsidP="00000000" w:rsidRDefault="00000000" w:rsidRPr="00000000" w14:paraId="00000009">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380" w:lineRule="auto"/>
        <w:ind w:left="720" w:hanging="360"/>
      </w:pPr>
      <w:r w:rsidDel="00000000" w:rsidR="00000000" w:rsidRPr="00000000">
        <w:rPr>
          <w:rFonts w:ascii="Roboto" w:cs="Roboto" w:eastAsia="Roboto" w:hAnsi="Roboto"/>
          <w:color w:val="2a2b2d"/>
          <w:sz w:val="24"/>
          <w:szCs w:val="24"/>
          <w:rtl w:val="0"/>
        </w:rPr>
        <w:t xml:space="preserve">Treat The Food Group as a real client. The core challenge is to distinguish food “need” from observed “demand”: food-shelf usage captures people who reach the system, but not everyone who needs assistance. Recommendations should be actionable, defensible, and understandable to nontechnical decision-makers.</w:t>
        <w:br w:type="textWrapping"/>
      </w:r>
    </w:p>
    <w:p w:rsidR="00000000" w:rsidDel="00000000" w:rsidP="00000000" w:rsidRDefault="00000000" w:rsidRPr="00000000" w14:paraId="0000000A">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color w:val="2a2b2d"/>
          <w:sz w:val="24"/>
          <w:szCs w:val="24"/>
          <w:rtl w:val="0"/>
        </w:rPr>
        <w:t xml:space="preserve">Data choices and justification matter. Teams receive Food Group data on food-shelf activity, calls, MarketBucks, and organizations. Everyone must independently obtain and cite Feeding America’s Map the Meal Gap data, while some divisions need additional external sources. Teams should be prepared to defend sources, assumptions, methods, and tradeoffs.</w:t>
        <w:br w:type="textWrapping"/>
      </w:r>
    </w:p>
    <w:p w:rsidR="00000000" w:rsidDel="00000000" w:rsidP="00000000" w:rsidRDefault="00000000" w:rsidRPr="00000000" w14:paraId="0000000B">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color w:val="2a2b2d"/>
          <w:sz w:val="24"/>
          <w:szCs w:val="24"/>
          <w:rtl w:val="0"/>
        </w:rPr>
        <w:t xml:space="preserve">Know the major competition rules. The final deliverable is a 5–7 minute presentation on October 17th at St. Catherine University. For the August forecasting task, teams must use data only through the end of July; using August data can invalidate that submission. AI tools are allowed, but teams must understand and defend anything produced with them. Nonpublic Food Group raw data must remain in private/password-protected storage and must not be published publicly.</w:t>
      </w:r>
    </w:p>
    <w:p w:rsidR="00000000" w:rsidDel="00000000" w:rsidP="00000000" w:rsidRDefault="00000000" w:rsidRPr="00000000" w14:paraId="0000000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4"/>
          <w:szCs w:val="54"/>
        </w:rPr>
      </w:pPr>
      <w:bookmarkStart w:colFirst="0" w:colLast="0" w:name="_y17vmle1rk80" w:id="2"/>
      <w:bookmarkEnd w:id="2"/>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4"/>
          <w:szCs w:val="54"/>
        </w:rPr>
      </w:pPr>
      <w:bookmarkStart w:colFirst="0" w:colLast="0" w:name="_j8vocx8jorm5" w:id="3"/>
      <w:bookmarkEnd w:id="3"/>
      <w:r w:rsidDel="00000000" w:rsidR="00000000" w:rsidRPr="00000000">
        <w:rPr>
          <w:rFonts w:ascii="Roboto" w:cs="Roboto" w:eastAsia="Roboto" w:hAnsi="Roboto"/>
          <w:b w:val="1"/>
          <w:bCs w:val="1"/>
          <w:color w:val="2a2b2d"/>
          <w:sz w:val="54"/>
          <w:szCs w:val="54"/>
          <w:rtl w:val="0"/>
        </w:rPr>
        <w:t xml:space="preserve">🧩 In Simple Terms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fffff" w:val="clear"/>
        <w:spacing w:after="260" w:line="360" w:lineRule="auto"/>
        <w:rPr>
          <w:rFonts w:ascii="Roboto" w:cs="Roboto" w:eastAsia="Roboto" w:hAnsi="Roboto"/>
          <w:color w:val="323539"/>
          <w:sz w:val="24"/>
          <w:szCs w:val="24"/>
          <w:shd w:fill="dfeaff" w:val="clear"/>
        </w:rPr>
      </w:pPr>
      <w:r w:rsidDel="00000000" w:rsidR="00000000" w:rsidRPr="00000000">
        <w:rPr>
          <w:rFonts w:ascii="Roboto" w:cs="Roboto" w:eastAsia="Roboto" w:hAnsi="Roboto"/>
          <w:color w:val="2a2b2d"/>
          <w:sz w:val="24"/>
          <w:szCs w:val="24"/>
          <w:rtl w:val="0"/>
        </w:rPr>
        <w:t xml:space="preserve">This meeting explains what students need to do for the MinneMUDAC 2026 competition. Teams are acting like data consultants for The Food Group, a Minnesota nonprofit. The goal is to use real data to help the organization better understand hunger and decide where its resources can have the most impact. A central idea is that the number of people using food shelves does not necessarily show everyone who actually needs food assistance.</w:t>
      </w:r>
      <w:r w:rsidDel="00000000" w:rsidR="00000000" w:rsidRPr="00000000">
        <w:rPr>
          <w:rtl w:val="0"/>
        </w:rPr>
      </w:r>
    </w:p>
    <w:p w:rsidR="00000000" w:rsidDel="00000000" w:rsidP="00000000" w:rsidRDefault="00000000" w:rsidRPr="00000000" w14:paraId="0000000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4"/>
          <w:szCs w:val="54"/>
        </w:rPr>
      </w:pPr>
      <w:bookmarkStart w:colFirst="0" w:colLast="0" w:name="_oasnv0xxdcgg" w:id="4"/>
      <w:bookmarkEnd w:id="4"/>
      <w:r w:rsidDel="00000000" w:rsidR="00000000" w:rsidRPr="00000000">
        <w:rPr>
          <w:rFonts w:ascii="Roboto" w:cs="Roboto" w:eastAsia="Roboto" w:hAnsi="Roboto"/>
          <w:b w:val="1"/>
          <w:bCs w:val="1"/>
          <w:color w:val="2a2b2d"/>
          <w:sz w:val="54"/>
          <w:szCs w:val="54"/>
          <w:rtl w:val="0"/>
        </w:rPr>
        <w:t xml:space="preserve">📊 What Teams Will Do</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fffff" w:val="clear"/>
        <w:spacing w:after="260" w:line="360" w:lineRule="auto"/>
        <w:rPr>
          <w:rFonts w:ascii="Roboto" w:cs="Roboto" w:eastAsia="Roboto" w:hAnsi="Roboto"/>
          <w:color w:val="323539"/>
          <w:sz w:val="24"/>
          <w:szCs w:val="24"/>
          <w:shd w:fill="dfeaff" w:val="clear"/>
        </w:rPr>
      </w:pPr>
      <w:r w:rsidDel="00000000" w:rsidR="00000000" w:rsidRPr="00000000">
        <w:rPr>
          <w:rFonts w:ascii="Roboto" w:cs="Roboto" w:eastAsia="Roboto" w:hAnsi="Roboto"/>
          <w:color w:val="2a2b2d"/>
          <w:sz w:val="24"/>
          <w:szCs w:val="24"/>
          <w:rtl w:val="0"/>
        </w:rPr>
        <w:t xml:space="preserve">Teams will analyze Food Group data covering food-shelf activity, calls for assistance, MarketBucks participation, and organizations. They must also obtain Feeding America Map the Meal Gap data and, depending on the competition division, find other useful information such as grocery-price, SNAP, or census data. Questions cover topics such as food need versus observed demand, food prices, SNAP enrollment, forecasting, and geographic barriers to food access. Teams are expected to explain and defend their data sources, assumptions, and analytical choices rather than simply produce sophisticated models.</w:t>
      </w:r>
      <w:r w:rsidDel="00000000" w:rsidR="00000000" w:rsidRPr="00000000">
        <w:rPr>
          <w:rtl w:val="0"/>
        </w:rPr>
      </w:r>
    </w:p>
    <w:p w:rsidR="00000000" w:rsidDel="00000000" w:rsidP="00000000" w:rsidRDefault="00000000" w:rsidRPr="00000000" w14:paraId="0000001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319.9992" w:lineRule="auto"/>
        <w:rPr>
          <w:rFonts w:ascii="Roboto" w:cs="Roboto" w:eastAsia="Roboto" w:hAnsi="Roboto"/>
          <w:b w:val="1"/>
          <w:bCs w:val="1"/>
          <w:color w:val="2a2b2d"/>
          <w:sz w:val="54"/>
          <w:szCs w:val="54"/>
        </w:rPr>
      </w:pPr>
      <w:bookmarkStart w:colFirst="0" w:colLast="0" w:name="_n3ob4evsldp" w:id="5"/>
      <w:bookmarkEnd w:id="5"/>
      <w:r w:rsidDel="00000000" w:rsidR="00000000" w:rsidRPr="00000000">
        <w:rPr>
          <w:rFonts w:ascii="Roboto" w:cs="Roboto" w:eastAsia="Roboto" w:hAnsi="Roboto"/>
          <w:b w:val="1"/>
          <w:bCs w:val="1"/>
          <w:color w:val="2a2b2d"/>
          <w:sz w:val="54"/>
          <w:szCs w:val="54"/>
          <w:rtl w:val="0"/>
        </w:rPr>
        <w:t xml:space="preserve">🎯 What Matters Most</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323539"/>
          <w:sz w:val="24"/>
          <w:szCs w:val="24"/>
          <w:shd w:fill="dfeaff" w:val="clear"/>
        </w:rPr>
      </w:pPr>
      <w:r w:rsidDel="00000000" w:rsidR="00000000" w:rsidRPr="00000000">
        <w:rPr>
          <w:rFonts w:ascii="Roboto" w:cs="Roboto" w:eastAsia="Roboto" w:hAnsi="Roboto"/>
          <w:color w:val="2a2b2d"/>
          <w:sz w:val="24"/>
          <w:szCs w:val="24"/>
          <w:rtl w:val="0"/>
        </w:rPr>
        <w:t xml:space="preserve">The final product is a 5–7 minute presentation to judges on October 17th at St. Catherine University. Teams should focus on clear, useful recommendations that The Food Group could actually act on. AI tools are allowed, but competitors must understand and defend anything they use. For the August forecasting problem, teams must use data only through the end of July. The Food Group's nonpublic raw data must also stay in password-protected/private storage and cannot be published publicly. </w:t>
      </w:r>
      <w:r w:rsidDel="00000000" w:rsidR="00000000" w:rsidRPr="00000000">
        <w:rPr>
          <w:rFonts w:ascii="Roboto" w:cs="Roboto" w:eastAsia="Roboto" w:hAnsi="Roboto"/>
          <w:color w:val="323539"/>
          <w:sz w:val="24"/>
          <w:szCs w:val="24"/>
          <w:shd w:fill="dfeaff" w:val="clear"/>
          <w:rtl w:val="0"/>
        </w:rPr>
        <w:t xml:space="preserve">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right"/>
      <w:rPr/>
    </w:pPr>
    <w:r w:rsidDel="00000000" w:rsidR="00000000" w:rsidRPr="00000000">
      <w:rPr>
        <w:rFonts w:ascii="Roboto" w:cs="Roboto" w:eastAsia="Roboto" w:hAnsi="Roboto"/>
        <w:color w:val="111827"/>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a2b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a2b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sISZoYTh1SY"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